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29DD1DFD"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773EDF">
        <w:rPr>
          <w:rFonts w:ascii="Times New Roman" w:hAnsi="Times New Roman" w:cs="Times New Roman"/>
          <w:b/>
        </w:rPr>
        <w:t>56</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76AD449E"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6C6EBA">
        <w:rPr>
          <w:rFonts w:ascii="Times New Roman" w:hAnsi="Times New Roman" w:cs="Times New Roman"/>
          <w:bCs/>
        </w:rPr>
        <w:t>A</w:t>
      </w:r>
      <w:r w:rsidR="00B3317E" w:rsidRPr="005041EB">
        <w:rPr>
          <w:rFonts w:ascii="Times New Roman" w:hAnsi="Times New Roman" w:cs="Times New Roman"/>
          <w:bCs/>
        </w:rPr>
        <w:t xml:space="preserve"> VEREADOR</w:t>
      </w:r>
      <w:r w:rsidR="006C6EBA">
        <w:rPr>
          <w:rFonts w:ascii="Times New Roman" w:hAnsi="Times New Roman" w:cs="Times New Roman"/>
          <w:bCs/>
        </w:rPr>
        <w:t>A</w:t>
      </w:r>
      <w:r w:rsidR="00B3317E" w:rsidRPr="005041EB">
        <w:rPr>
          <w:rFonts w:ascii="Times New Roman" w:hAnsi="Times New Roman" w:cs="Times New Roman"/>
          <w:bCs/>
        </w:rPr>
        <w:t xml:space="preserve"> </w:t>
      </w:r>
      <w:r w:rsidR="00846DE0" w:rsidRPr="00846DE0">
        <w:rPr>
          <w:rFonts w:ascii="Times New Roman" w:hAnsi="Times New Roman" w:cs="Times New Roman"/>
        </w:rPr>
        <w:t>ADRIANA FÁTIMA DE PAULA MAGALHÃES</w:t>
      </w:r>
      <w:r w:rsidR="00846DE0">
        <w:t xml:space="preserve"> </w:t>
      </w:r>
      <w:r w:rsidR="00B3317E" w:rsidRPr="005041EB">
        <w:rPr>
          <w:rFonts w:ascii="Times New Roman" w:hAnsi="Times New Roman" w:cs="Times New Roman"/>
          <w:bCs/>
        </w:rPr>
        <w:t>DA CÂMARA MUNICIPAL DE PATROCÍNIO, CONFORME CONDIÇÕES E EXIGÊNCIAS ESTABELECIDAS NESTE INSTRUMENTO</w:t>
      </w:r>
      <w:r w:rsidRPr="00C65BD8">
        <w:rPr>
          <w:rFonts w:ascii="Times New Roman" w:hAnsi="Times New Roman" w:cs="Times New Roman"/>
        </w:rPr>
        <w:t xml:space="preserve">.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4FD67F4D" w:rsidR="008054C4" w:rsidRPr="00C65BD8" w:rsidRDefault="006C6EBA" w:rsidP="007D7D2B">
            <w:pPr>
              <w:spacing w:before="120" w:after="120" w:line="360" w:lineRule="auto"/>
              <w:contextualSpacing/>
              <w:jc w:val="both"/>
              <w:rPr>
                <w:rFonts w:ascii="Times New Roman" w:hAnsi="Times New Roman" w:cs="Times New Roman"/>
              </w:rPr>
            </w:pPr>
            <w:r>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1552CDA8"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6C6EBA">
        <w:rPr>
          <w:rFonts w:ascii="Times New Roman" w:hAnsi="Times New Roman" w:cs="Times New Roman"/>
          <w:bCs/>
        </w:rPr>
        <w:t>01</w:t>
      </w:r>
      <w:r w:rsidRPr="00C65BD8">
        <w:rPr>
          <w:rFonts w:ascii="Times New Roman" w:hAnsi="Times New Roman" w:cs="Times New Roman"/>
          <w:bCs/>
        </w:rPr>
        <w:t>/</w:t>
      </w:r>
      <w:r>
        <w:rPr>
          <w:rFonts w:ascii="Times New Roman" w:hAnsi="Times New Roman" w:cs="Times New Roman"/>
          <w:bCs/>
        </w:rPr>
        <w:t>0</w:t>
      </w:r>
      <w:r w:rsidR="006C6EBA">
        <w:rPr>
          <w:rFonts w:ascii="Times New Roman" w:hAnsi="Times New Roman" w:cs="Times New Roman"/>
          <w:bCs/>
        </w:rPr>
        <w:t>7</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Extrai-se ainda do Documento de Formalização da Demanda, que a presente iniciativa tem o objetivo de contratar pessoa jurídica para prestação de serviços de docência em ação educacional. </w:t>
      </w:r>
    </w:p>
    <w:p w14:paraId="67949FED" w14:textId="327C62DA" w:rsidR="00FF466B" w:rsidRPr="0004236A" w:rsidRDefault="00FF466B" w:rsidP="006C6EBA">
      <w:pPr>
        <w:spacing w:before="120" w:after="120" w:line="360" w:lineRule="auto"/>
        <w:ind w:firstLine="1134"/>
        <w:jc w:val="both"/>
        <w:rPr>
          <w:rFonts w:ascii="Times New Roman" w:hAnsi="Times New Roman" w:cs="Times New Roman"/>
          <w:b/>
          <w:bCs/>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r w:rsidR="006C6EBA" w:rsidRPr="006C6EBA">
        <w:rPr>
          <w:rFonts w:ascii="Times New Roman" w:hAnsi="Times New Roman" w:cs="Times New Roman"/>
          <w:b/>
          <w:bCs/>
        </w:rPr>
        <w:t>BELO HORIZONTE - 632º CURSO SOBRE A RESPONSABILIDADE DOS AGENTES PÚBLICOS EM LICITAÇÕES: AUDITORIA, APURAÇÃO E PENALIDADES</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5D5AE72C" w:rsidR="00F94BCC" w:rsidRPr="0004236A" w:rsidRDefault="00FF466B" w:rsidP="0004236A">
      <w:pPr>
        <w:spacing w:before="120" w:after="120" w:line="360" w:lineRule="auto"/>
        <w:ind w:firstLine="1134"/>
        <w:jc w:val="both"/>
        <w:rPr>
          <w:rFonts w:ascii="Times New Roman" w:hAnsi="Times New Roman" w:cs="Times New Roman"/>
          <w:bCs/>
          <w:color w:val="0070C0"/>
        </w:rPr>
      </w:pPr>
      <w:r w:rsidRPr="00C0558A">
        <w:rPr>
          <w:rFonts w:ascii="Times New Roman" w:hAnsi="Times New Roman" w:cs="Times New Roman"/>
          <w:i/>
          <w:iCs/>
          <w:color w:val="0070C0"/>
        </w:rPr>
        <w:t xml:space="preserve">O curso a ser contratado objetiva </w:t>
      </w:r>
      <w:r w:rsidRPr="00570D80">
        <w:rPr>
          <w:rFonts w:ascii="Times New Roman" w:hAnsi="Times New Roman" w:cs="Times New Roman"/>
          <w:i/>
          <w:iCs/>
          <w:color w:val="0070C0"/>
        </w:rPr>
        <w:t xml:space="preserve">capacitar </w:t>
      </w:r>
      <w:r w:rsidR="0004236A">
        <w:rPr>
          <w:rFonts w:ascii="Times New Roman" w:hAnsi="Times New Roman" w:cs="Times New Roman"/>
          <w:i/>
          <w:iCs/>
          <w:color w:val="0070C0"/>
        </w:rPr>
        <w:t>os</w:t>
      </w:r>
      <w:r w:rsidR="00B3317E">
        <w:rPr>
          <w:rFonts w:ascii="Times New Roman" w:hAnsi="Times New Roman" w:cs="Times New Roman"/>
          <w:i/>
          <w:iCs/>
          <w:color w:val="0070C0"/>
        </w:rPr>
        <w:t xml:space="preserve"> </w:t>
      </w:r>
      <w:r w:rsidR="0004236A">
        <w:rPr>
          <w:rFonts w:ascii="Times New Roman" w:hAnsi="Times New Roman" w:cs="Times New Roman"/>
          <w:i/>
          <w:iCs/>
          <w:color w:val="0070C0"/>
        </w:rPr>
        <w:t>vereadores</w:t>
      </w:r>
      <w:r w:rsidRPr="00570D80">
        <w:rPr>
          <w:rFonts w:ascii="Times New Roman" w:hAnsi="Times New Roman" w:cs="Times New Roman"/>
          <w:i/>
          <w:iCs/>
          <w:color w:val="0070C0"/>
        </w:rPr>
        <w:t xml:space="preserve">, </w:t>
      </w:r>
      <w:r w:rsidR="00BC6B73" w:rsidRPr="00DC3141">
        <w:rPr>
          <w:rFonts w:ascii="Times New Roman" w:hAnsi="Times New Roman" w:cs="Times New Roman"/>
          <w:i/>
          <w:iCs/>
          <w:color w:val="000000"/>
        </w:rPr>
        <w:t>a fim de que el</w:t>
      </w:r>
      <w:r w:rsidR="006C6EBA">
        <w:rPr>
          <w:rFonts w:ascii="Times New Roman" w:hAnsi="Times New Roman" w:cs="Times New Roman"/>
          <w:i/>
          <w:iCs/>
          <w:color w:val="000000"/>
        </w:rPr>
        <w:t>a</w:t>
      </w:r>
      <w:r w:rsidR="00BC6B73" w:rsidRPr="00DC3141">
        <w:rPr>
          <w:rFonts w:ascii="Times New Roman" w:hAnsi="Times New Roman" w:cs="Times New Roman"/>
          <w:i/>
          <w:iCs/>
          <w:color w:val="000000"/>
        </w:rPr>
        <w:t xml:space="preserve"> possa desempenhar suas atividades com maior qualidade e acuidade, principalmente no </w:t>
      </w:r>
      <w:r w:rsidR="00BC6B73" w:rsidRPr="00DC3141">
        <w:rPr>
          <w:rFonts w:ascii="Times New Roman" w:hAnsi="Times New Roman" w:cs="Times New Roman"/>
          <w:i/>
          <w:iCs/>
          <w:color w:val="000000"/>
        </w:rPr>
        <w:lastRenderedPageBreak/>
        <w:t>que concerne a assuntos relacionados à Câmara Municipal</w:t>
      </w:r>
      <w:r w:rsidR="006C6EBA">
        <w:rPr>
          <w:rFonts w:ascii="Times New Roman" w:hAnsi="Times New Roman" w:cs="Times New Roman"/>
          <w:i/>
          <w:iCs/>
          <w:color w:val="000000"/>
        </w:rPr>
        <w:t xml:space="preserve">, neste caso específico, para atuar com segurança jurídica e responsabilidade nos processos licitatórios e </w:t>
      </w:r>
      <w:proofErr w:type="spellStart"/>
      <w:r w:rsidR="006C6EBA">
        <w:rPr>
          <w:rFonts w:ascii="Times New Roman" w:hAnsi="Times New Roman" w:cs="Times New Roman"/>
          <w:i/>
          <w:iCs/>
          <w:color w:val="000000"/>
        </w:rPr>
        <w:t>contratuai</w:t>
      </w:r>
      <w:proofErr w:type="spellEnd"/>
      <w:r w:rsidR="006C6EBA">
        <w:rPr>
          <w:rFonts w:ascii="Times New Roman" w:hAnsi="Times New Roman" w:cs="Times New Roman"/>
          <w:i/>
          <w:iCs/>
          <w:color w:val="000000"/>
        </w:rPr>
        <w:t>. Especialmente à luz da Nova Lei de Licitações e Contratos</w:t>
      </w:r>
      <w:r w:rsidR="00BC6B73" w:rsidRPr="00DC3141">
        <w:rPr>
          <w:rFonts w:ascii="Times New Roman" w:hAnsi="Times New Roman" w:cs="Times New Roman"/>
          <w:i/>
          <w:iCs/>
          <w:color w:val="000000"/>
        </w:rPr>
        <w:t>.</w:t>
      </w:r>
      <w:r w:rsidRPr="00570D80">
        <w:rPr>
          <w:rFonts w:ascii="Times New Roman" w:hAnsi="Times New Roman" w:cs="Times New Roman"/>
          <w:i/>
          <w:iCs/>
          <w:color w:val="0070C0"/>
        </w:rPr>
        <w:t xml:space="preserve"> </w:t>
      </w:r>
      <w:r w:rsidR="00B3317E" w:rsidRPr="005041EB">
        <w:rPr>
          <w:rFonts w:ascii="Times New Roman" w:hAnsi="Times New Roman" w:cs="Times New Roman"/>
          <w:bCs/>
          <w:i/>
          <w:iCs/>
          <w:color w:val="0070C0"/>
        </w:rPr>
        <w:t xml:space="preserve">O curso abordará tópicos como </w:t>
      </w:r>
      <w:r w:rsidR="006C6EBA" w:rsidRPr="006C6EBA">
        <w:rPr>
          <w:rFonts w:ascii="Times New Roman" w:hAnsi="Times New Roman" w:cs="Times New Roman"/>
          <w:b/>
          <w:bCs/>
          <w:color w:val="0070C0"/>
        </w:rPr>
        <w:t>Meios de Apuração de Responsabilidades: Vias Administrativas e Judiciais; Improbidade Administrativa nas Contratações Públicas: Aspectos Relevantes; Funções e Deveres do Pregoeiro e da Equipe de Apoio na Nova Lei de Licitações</w:t>
      </w:r>
      <w:r w:rsidR="006C6EBA">
        <w:rPr>
          <w:rFonts w:ascii="Times New Roman" w:hAnsi="Times New Roman" w:cs="Times New Roman"/>
          <w:b/>
          <w:bCs/>
          <w:color w:val="0070C0"/>
        </w:rPr>
        <w:t xml:space="preserve">; </w:t>
      </w:r>
      <w:r w:rsidR="006C6EBA" w:rsidRPr="006C6EBA">
        <w:rPr>
          <w:rFonts w:ascii="Times New Roman" w:hAnsi="Times New Roman" w:cs="Times New Roman"/>
          <w:b/>
          <w:bCs/>
          <w:color w:val="0070C0"/>
        </w:rPr>
        <w:t>Atribuições e Responsabilidades Específicas do Pregoeiro; Responsabilidade Administrativa, Civil e Penal dos Agentes Públicos em Licitações; Responsabilização junto aos Tribunais de Contas: Procedimentos e Consequências</w:t>
      </w:r>
      <w:r w:rsidR="006C6EBA">
        <w:rPr>
          <w:rFonts w:ascii="Times New Roman" w:hAnsi="Times New Roman" w:cs="Times New Roman"/>
          <w:b/>
          <w:bCs/>
          <w:color w:val="0070C0"/>
        </w:rPr>
        <w:t xml:space="preserve">; </w:t>
      </w:r>
      <w:r w:rsidR="006C6EBA" w:rsidRPr="006C6EBA">
        <w:rPr>
          <w:rFonts w:ascii="Times New Roman" w:hAnsi="Times New Roman" w:cs="Times New Roman"/>
          <w:b/>
          <w:bCs/>
          <w:color w:val="0070C0"/>
        </w:rPr>
        <w:t>Elementos da Responsabilização: Ilicitude, Culpabilidade e Nexo Causal; Sanções Aplicáveis às Irregularidades em Licitações: Código Penal e Lei de Improbidade Administrativa; Crimes em Licitações Públicas: Fraude, Frustração de Competitividade e Outras Infrações</w:t>
      </w:r>
      <w:r w:rsidRPr="00C0558A">
        <w:rPr>
          <w:rFonts w:ascii="Times New Roman" w:hAnsi="Times New Roman" w:cs="Times New Roman"/>
          <w:i/>
          <w:iCs/>
          <w:color w:val="0070C0"/>
        </w:rPr>
        <w:t>.</w:t>
      </w:r>
    </w:p>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se a notória </w:t>
      </w:r>
      <w:r w:rsidRPr="00C0558A">
        <w:rPr>
          <w:rFonts w:ascii="Times New Roman" w:hAnsi="Times New Roman" w:cs="Times New Roman"/>
          <w:i/>
          <w:iCs/>
          <w:color w:val="0070C0"/>
        </w:rPr>
        <w:lastRenderedPageBreak/>
        <w:t>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w:t>
      </w:r>
      <w:r w:rsidRPr="00C0558A">
        <w:rPr>
          <w:rFonts w:ascii="Times New Roman" w:hAnsi="Times New Roman" w:cs="Times New Roman"/>
          <w:i/>
          <w:iCs/>
          <w:color w:val="0070C0"/>
          <w:sz w:val="20"/>
          <w:szCs w:val="20"/>
        </w:rPr>
        <w:lastRenderedPageBreak/>
        <w:t>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21828B44" w:rsidR="00FF466B" w:rsidRPr="00B8651B" w:rsidRDefault="00FF466B" w:rsidP="00B3317E">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r w:rsidR="006C6EBA" w:rsidRPr="006C6EBA">
        <w:rPr>
          <w:rFonts w:ascii="Times New Roman" w:hAnsi="Times New Roman" w:cs="Times New Roman"/>
          <w:b/>
          <w:bCs/>
          <w:i/>
          <w:iCs/>
          <w:color w:val="0070C0"/>
        </w:rPr>
        <w:t>INSTITUTO GLOBAL DE ADMINISTRAÇÃO PÚBLICA</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por meio do</w:t>
      </w:r>
      <w:r w:rsidR="00B3317E">
        <w:rPr>
          <w:rFonts w:ascii="Times New Roman" w:hAnsi="Times New Roman" w:cs="Times New Roman"/>
          <w:i/>
          <w:iCs/>
          <w:color w:val="0070C0"/>
        </w:rPr>
        <w:t xml:space="preserve"> docente</w:t>
      </w:r>
      <w:r w:rsidR="00B3317E" w:rsidRPr="005041EB">
        <w:rPr>
          <w:rFonts w:ascii="Times New Roman" w:hAnsi="Times New Roman" w:cs="Times New Roman"/>
          <w:b/>
          <w:bCs/>
          <w:i/>
          <w:iCs/>
          <w:color w:val="0070C0"/>
        </w:rPr>
        <w:t> </w:t>
      </w:r>
      <w:r w:rsidR="006C6EBA" w:rsidRPr="006C6EBA">
        <w:rPr>
          <w:rFonts w:ascii="Times New Roman" w:hAnsi="Times New Roman" w:cs="Times New Roman"/>
          <w:b/>
          <w:bCs/>
          <w:i/>
          <w:iCs/>
          <w:color w:val="0070C0"/>
        </w:rPr>
        <w:t>Dr. Eder Lima Palma</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se dá por meio de uma decisão estratégica para atender as necessidades apontadas pelo demandante. A escolha dos docentes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w:t>
      </w:r>
      <w:r w:rsidRPr="00B3317E">
        <w:rPr>
          <w:rFonts w:ascii="Times New Roman" w:hAnsi="Times New Roman" w:cs="Times New Roman"/>
          <w:i/>
          <w:iCs/>
          <w:color w:val="0070C0"/>
        </w:rPr>
        <w:t xml:space="preserve">. </w:t>
      </w:r>
    </w:p>
    <w:p w14:paraId="0DEAE7C8" w14:textId="7CD37471" w:rsidR="00FF466B" w:rsidRPr="00C0558A" w:rsidRDefault="00B3317E" w:rsidP="00FF466B">
      <w:pPr>
        <w:spacing w:before="120" w:after="120" w:line="360" w:lineRule="auto"/>
        <w:ind w:firstLine="1134"/>
        <w:jc w:val="both"/>
        <w:rPr>
          <w:rFonts w:ascii="Times New Roman" w:hAnsi="Times New Roman" w:cs="Times New Roman"/>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w:t>
      </w:r>
      <w:r w:rsidR="006C6EBA" w:rsidRPr="006C6EBA">
        <w:rPr>
          <w:rFonts w:ascii="Times New Roman" w:hAnsi="Times New Roman" w:cs="Times New Roman"/>
          <w:b/>
          <w:bCs/>
          <w:i/>
          <w:iCs/>
          <w:color w:val="0070C0"/>
        </w:rPr>
        <w:t>Dr. Eder Lima Palma</w:t>
      </w:r>
      <w:r w:rsidR="00355F64" w:rsidRPr="00355F64">
        <w:rPr>
          <w:rFonts w:ascii="Times New Roman" w:hAnsi="Times New Roman" w:cs="Times New Roman"/>
          <w:b/>
          <w:bCs/>
          <w:i/>
          <w:iCs/>
          <w:color w:val="0070C0"/>
        </w:rPr>
        <w:t xml:space="preserve"> </w:t>
      </w:r>
      <w:r w:rsidRPr="00B3317E">
        <w:rPr>
          <w:rFonts w:ascii="Times New Roman" w:hAnsi="Times New Roman" w:cs="Times New Roman"/>
          <w:i/>
          <w:iCs/>
          <w:color w:val="0070C0"/>
        </w:rPr>
        <w:t xml:space="preserve">é </w:t>
      </w:r>
      <w:r w:rsidR="006C6EBA" w:rsidRPr="006C6EBA">
        <w:rPr>
          <w:rFonts w:ascii="Times New Roman" w:hAnsi="Times New Roman" w:cs="Times New Roman"/>
          <w:i/>
          <w:iCs/>
          <w:color w:val="0070C0"/>
        </w:rPr>
        <w:t xml:space="preserve">Advogado, Graduado em Direito pela </w:t>
      </w:r>
      <w:proofErr w:type="spellStart"/>
      <w:r w:rsidR="006C6EBA" w:rsidRPr="006C6EBA">
        <w:rPr>
          <w:rFonts w:ascii="Times New Roman" w:hAnsi="Times New Roman" w:cs="Times New Roman"/>
          <w:i/>
          <w:iCs/>
          <w:color w:val="0070C0"/>
        </w:rPr>
        <w:t>Unisepe</w:t>
      </w:r>
      <w:proofErr w:type="spellEnd"/>
      <w:r w:rsidR="006C6EBA" w:rsidRPr="006C6EBA">
        <w:rPr>
          <w:rFonts w:ascii="Times New Roman" w:hAnsi="Times New Roman" w:cs="Times New Roman"/>
          <w:i/>
          <w:iCs/>
          <w:color w:val="0070C0"/>
        </w:rPr>
        <w:t>,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w:t>
      </w:r>
      <w:r w:rsidRPr="00C0558A">
        <w:rPr>
          <w:rFonts w:ascii="Times New Roman" w:hAnsi="Times New Roman" w:cs="Times New Roman"/>
          <w:i/>
          <w:iCs/>
          <w:color w:val="0070C0"/>
        </w:rPr>
        <w:lastRenderedPageBreak/>
        <w:t>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43775E7" w14:textId="1C9CA3FB"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w:t>
      </w:r>
      <w:r w:rsidR="006C6EBA">
        <w:rPr>
          <w:rFonts w:ascii="Times New Roman" w:hAnsi="Times New Roman" w:cs="Times New Roman"/>
        </w:rPr>
        <w:t xml:space="preserve"> </w:t>
      </w:r>
      <w:r w:rsidRPr="00C65BD8">
        <w:rPr>
          <w:rFonts w:ascii="Times New Roman" w:hAnsi="Times New Roman" w:cs="Times New Roman"/>
        </w:rPr>
        <w:t>)</w:t>
      </w:r>
      <w:proofErr w:type="gramEnd"/>
      <w:r w:rsidRPr="00C65BD8">
        <w:rPr>
          <w:rFonts w:ascii="Times New Roman" w:hAnsi="Times New Roman" w:cs="Times New Roman"/>
        </w:rPr>
        <w:t xml:space="preserve">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2D46FA4A"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6C6EBA">
        <w:rPr>
          <w:rFonts w:ascii="Times New Roman" w:hAnsi="Times New Roman" w:cs="Times New Roman"/>
        </w:rPr>
        <w:t>01</w:t>
      </w:r>
      <w:r w:rsidRPr="00C65BD8">
        <w:rPr>
          <w:rFonts w:ascii="Times New Roman" w:hAnsi="Times New Roman" w:cs="Times New Roman"/>
        </w:rPr>
        <w:t xml:space="preserve"> a </w:t>
      </w:r>
      <w:r w:rsidR="006C6EBA">
        <w:rPr>
          <w:rFonts w:ascii="Times New Roman" w:hAnsi="Times New Roman" w:cs="Times New Roman"/>
        </w:rPr>
        <w:t>04</w:t>
      </w:r>
      <w:r w:rsidRPr="00C65BD8">
        <w:rPr>
          <w:rFonts w:ascii="Times New Roman" w:hAnsi="Times New Roman" w:cs="Times New Roman"/>
        </w:rPr>
        <w:t xml:space="preserve"> de </w:t>
      </w:r>
      <w:r w:rsidR="00355F64">
        <w:rPr>
          <w:rFonts w:ascii="Times New Roman" w:hAnsi="Times New Roman" w:cs="Times New Roman"/>
        </w:rPr>
        <w:t>ju</w:t>
      </w:r>
      <w:r w:rsidR="006C6EBA">
        <w:rPr>
          <w:rFonts w:ascii="Times New Roman" w:hAnsi="Times New Roman" w:cs="Times New Roman"/>
        </w:rPr>
        <w:t>l</w:t>
      </w:r>
      <w:r w:rsidR="00355F64">
        <w:rPr>
          <w:rFonts w:ascii="Times New Roman" w:hAnsi="Times New Roman" w:cs="Times New Roman"/>
        </w:rPr>
        <w:t>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7B8E0FDD" w14:textId="62FAA8F8"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6C6EBA">
        <w:rPr>
          <w:rFonts w:ascii="Times New Roman" w:hAnsi="Times New Roman" w:cs="Times New Roman"/>
          <w:color w:val="0070C0"/>
        </w:rPr>
        <w:t>01</w:t>
      </w:r>
      <w:r>
        <w:rPr>
          <w:rFonts w:ascii="Times New Roman" w:hAnsi="Times New Roman" w:cs="Times New Roman"/>
          <w:color w:val="0070C0"/>
        </w:rPr>
        <w:t>/0</w:t>
      </w:r>
      <w:r w:rsidR="006C6EBA">
        <w:rPr>
          <w:rFonts w:ascii="Times New Roman" w:hAnsi="Times New Roman" w:cs="Times New Roman"/>
          <w:color w:val="0070C0"/>
        </w:rPr>
        <w:t>7</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lastRenderedPageBreak/>
        <w:t>(  )</w:t>
      </w:r>
      <w:proofErr w:type="gramEnd"/>
      <w:r w:rsidRPr="008620AA">
        <w:rPr>
          <w:rFonts w:ascii="Times New Roman" w:hAnsi="Times New Roman" w:cs="Times New Roman"/>
          <w:color w:val="000000" w:themeColor="text1"/>
        </w:rPr>
        <w:t xml:space="preserve">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0"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0"/>
    </w:p>
    <w:p w14:paraId="46908881" w14:textId="77777777" w:rsidR="00FF466B"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4DFD3E8D" w:rsidR="00FF466B" w:rsidRPr="00C65BD8" w:rsidRDefault="00FF466B" w:rsidP="00FF466B">
      <w:pPr>
        <w:spacing w:before="120" w:after="120" w:line="360" w:lineRule="auto"/>
        <w:contextualSpacing/>
        <w:jc w:val="both"/>
        <w:rPr>
          <w:rFonts w:ascii="Times New Roman" w:hAnsi="Times New Roman" w:cs="Times New Roman"/>
        </w:rPr>
      </w:pPr>
      <w:bookmarkStart w:id="1" w:name="_Hlk154305960"/>
      <w:r w:rsidRPr="00C65BD8">
        <w:rPr>
          <w:rFonts w:ascii="Times New Roman" w:hAnsi="Times New Roman" w:cs="Times New Roman"/>
        </w:rPr>
        <w:t xml:space="preserve">10.1 - O valor estimado da contratação perfaz a monta </w:t>
      </w:r>
      <w:r w:rsidR="00B3317E" w:rsidRPr="005041EB">
        <w:rPr>
          <w:rFonts w:ascii="Times New Roman" w:hAnsi="Times New Roman" w:cs="Times New Roman"/>
          <w:bCs/>
        </w:rPr>
        <w:t xml:space="preserve">de R$ </w:t>
      </w:r>
      <w:r w:rsidR="006C6EBA">
        <w:rPr>
          <w:rFonts w:ascii="Times New Roman" w:hAnsi="Times New Roman" w:cs="Times New Roman"/>
          <w:bCs/>
        </w:rPr>
        <w:t>990</w:t>
      </w:r>
      <w:r w:rsidR="00B3317E" w:rsidRPr="005041EB">
        <w:rPr>
          <w:rFonts w:ascii="Times New Roman" w:hAnsi="Times New Roman" w:cs="Times New Roman"/>
          <w:bCs/>
        </w:rPr>
        <w:t>,00 (</w:t>
      </w:r>
      <w:r w:rsidR="006C6EBA">
        <w:rPr>
          <w:rFonts w:ascii="Times New Roman" w:hAnsi="Times New Roman" w:cs="Times New Roman"/>
          <w:bCs/>
        </w:rPr>
        <w:t>novecentos e noventa</w:t>
      </w:r>
      <w:r w:rsidR="00B3317E" w:rsidRPr="005041EB">
        <w:rPr>
          <w:rFonts w:ascii="Times New Roman" w:hAnsi="Times New Roman" w:cs="Times New Roman"/>
          <w:bCs/>
        </w:rPr>
        <w:t xml:space="preserve"> reais).</w:t>
      </w:r>
    </w:p>
    <w:bookmarkEnd w:id="1"/>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w:t>
      </w:r>
      <w:proofErr w:type="gramStart"/>
      <w:r w:rsidRPr="00C65BD8">
        <w:rPr>
          <w:rFonts w:ascii="Times New Roman" w:hAnsi="Times New Roman" w:cs="Times New Roman"/>
        </w:rPr>
        <w:t>)  Composição</w:t>
      </w:r>
      <w:proofErr w:type="gramEnd"/>
      <w:r w:rsidRPr="00C65BD8">
        <w:rPr>
          <w:rFonts w:ascii="Times New Roman" w:hAnsi="Times New Roman" w:cs="Times New Roman"/>
        </w:rPr>
        <w:t xml:space="preserve">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2"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Menor valor apurado na pesquisa de mercado.  </w:t>
      </w:r>
    </w:p>
    <w:bookmarkEnd w:id="2"/>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723984FD"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6C6EBA">
        <w:rPr>
          <w:rFonts w:ascii="Times New Roman" w:hAnsi="Times New Roman" w:cs="Times New Roman"/>
        </w:rPr>
        <w:t>30</w:t>
      </w:r>
      <w:r w:rsidRPr="00C65BD8">
        <w:rPr>
          <w:rFonts w:ascii="Times New Roman" w:hAnsi="Times New Roman" w:cs="Times New Roman"/>
        </w:rPr>
        <w:t xml:space="preserve"> de </w:t>
      </w:r>
      <w:r w:rsidR="00355F64">
        <w:rPr>
          <w:rFonts w:ascii="Times New Roman" w:hAnsi="Times New Roman" w:cs="Times New Roman"/>
        </w:rPr>
        <w:t>junh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14025041" w14:textId="7B75E3D7" w:rsidR="00B3317E" w:rsidRPr="00B3317E" w:rsidRDefault="00B3317E" w:rsidP="00B3317E">
      <w:pPr>
        <w:contextualSpacing/>
        <w:jc w:val="center"/>
        <w:rPr>
          <w:rFonts w:ascii="Times New Roman" w:hAnsi="Times New Roman" w:cs="Times New Roman"/>
          <w:b/>
          <w:bCs/>
        </w:rPr>
      </w:pPr>
      <w:r w:rsidRPr="00B3317E">
        <w:rPr>
          <w:rFonts w:ascii="Times New Roman" w:hAnsi="Times New Roman" w:cs="Times New Roman"/>
          <w:b/>
          <w:bCs/>
          <w:i/>
          <w:iCs/>
        </w:rPr>
        <w:t>Victor Abrão Moreira Queiroz</w:t>
      </w:r>
    </w:p>
    <w:p w14:paraId="3CEA7626" w14:textId="77777777" w:rsidR="00B3317E" w:rsidRPr="00B3317E" w:rsidRDefault="00B3317E" w:rsidP="00B3317E">
      <w:pPr>
        <w:contextualSpacing/>
        <w:jc w:val="center"/>
        <w:rPr>
          <w:rFonts w:ascii="Times New Roman" w:hAnsi="Times New Roman" w:cs="Times New Roman"/>
          <w:bCs/>
        </w:rPr>
      </w:pPr>
      <w:r w:rsidRPr="00B3317E">
        <w:rPr>
          <w:rFonts w:ascii="Times New Roman" w:hAnsi="Times New Roman" w:cs="Times New Roman"/>
          <w:bCs/>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8216" w14:textId="77777777" w:rsidR="00DF6018" w:rsidRDefault="00DF6018" w:rsidP="00863038">
      <w:r>
        <w:separator/>
      </w:r>
    </w:p>
  </w:endnote>
  <w:endnote w:type="continuationSeparator" w:id="0">
    <w:p w14:paraId="578903EE" w14:textId="77777777" w:rsidR="00DF6018" w:rsidRDefault="00DF6018"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AA07" w14:textId="77777777" w:rsidR="00DF6018" w:rsidRDefault="00DF6018" w:rsidP="00863038">
      <w:r>
        <w:separator/>
      </w:r>
    </w:p>
  </w:footnote>
  <w:footnote w:type="continuationSeparator" w:id="0">
    <w:p w14:paraId="4833C141" w14:textId="77777777" w:rsidR="00DF6018" w:rsidRDefault="00DF6018"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4236A"/>
    <w:rsid w:val="00052101"/>
    <w:rsid w:val="0008287B"/>
    <w:rsid w:val="000C6F7C"/>
    <w:rsid w:val="000E166C"/>
    <w:rsid w:val="001069A6"/>
    <w:rsid w:val="00107F83"/>
    <w:rsid w:val="00134914"/>
    <w:rsid w:val="001760F8"/>
    <w:rsid w:val="00193E59"/>
    <w:rsid w:val="001945EF"/>
    <w:rsid w:val="001B0742"/>
    <w:rsid w:val="001B66C7"/>
    <w:rsid w:val="001C7141"/>
    <w:rsid w:val="00245154"/>
    <w:rsid w:val="00245705"/>
    <w:rsid w:val="00251C1E"/>
    <w:rsid w:val="00253F9B"/>
    <w:rsid w:val="002A5BB6"/>
    <w:rsid w:val="00355F64"/>
    <w:rsid w:val="00362577"/>
    <w:rsid w:val="00370803"/>
    <w:rsid w:val="003901C1"/>
    <w:rsid w:val="003E4CEA"/>
    <w:rsid w:val="00520CDA"/>
    <w:rsid w:val="005222A8"/>
    <w:rsid w:val="00531227"/>
    <w:rsid w:val="00557865"/>
    <w:rsid w:val="00557A54"/>
    <w:rsid w:val="005B6028"/>
    <w:rsid w:val="00611F6D"/>
    <w:rsid w:val="006266F7"/>
    <w:rsid w:val="0064125C"/>
    <w:rsid w:val="00646E6A"/>
    <w:rsid w:val="00650B95"/>
    <w:rsid w:val="00666B3E"/>
    <w:rsid w:val="00681919"/>
    <w:rsid w:val="006C6EBA"/>
    <w:rsid w:val="0073035F"/>
    <w:rsid w:val="00767628"/>
    <w:rsid w:val="00773EDF"/>
    <w:rsid w:val="00787672"/>
    <w:rsid w:val="00797D8C"/>
    <w:rsid w:val="007B0C85"/>
    <w:rsid w:val="007D7D2B"/>
    <w:rsid w:val="008054C4"/>
    <w:rsid w:val="00816861"/>
    <w:rsid w:val="00846DE0"/>
    <w:rsid w:val="00863038"/>
    <w:rsid w:val="008D4082"/>
    <w:rsid w:val="00913388"/>
    <w:rsid w:val="009638A4"/>
    <w:rsid w:val="009D18B0"/>
    <w:rsid w:val="00A01C11"/>
    <w:rsid w:val="00A35FD8"/>
    <w:rsid w:val="00A95D9E"/>
    <w:rsid w:val="00AA507C"/>
    <w:rsid w:val="00B3317E"/>
    <w:rsid w:val="00B77E86"/>
    <w:rsid w:val="00B8651B"/>
    <w:rsid w:val="00B9241E"/>
    <w:rsid w:val="00BB7A98"/>
    <w:rsid w:val="00BC1B44"/>
    <w:rsid w:val="00BC6B73"/>
    <w:rsid w:val="00BD2B53"/>
    <w:rsid w:val="00BE766F"/>
    <w:rsid w:val="00C65BD8"/>
    <w:rsid w:val="00CC1023"/>
    <w:rsid w:val="00CE0368"/>
    <w:rsid w:val="00D22B29"/>
    <w:rsid w:val="00D450DB"/>
    <w:rsid w:val="00D60327"/>
    <w:rsid w:val="00D6522B"/>
    <w:rsid w:val="00DB3BE6"/>
    <w:rsid w:val="00DC3141"/>
    <w:rsid w:val="00DF6018"/>
    <w:rsid w:val="00EA576A"/>
    <w:rsid w:val="00EC36A5"/>
    <w:rsid w:val="00F07DAC"/>
    <w:rsid w:val="00F27F6C"/>
    <w:rsid w:val="00F36E92"/>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0423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 w:type="character" w:styleId="MenoPendente">
    <w:name w:val="Unresolved Mention"/>
    <w:basedOn w:val="Fontepargpadro"/>
    <w:uiPriority w:val="99"/>
    <w:semiHidden/>
    <w:unhideWhenUsed/>
    <w:rsid w:val="0004236A"/>
    <w:rPr>
      <w:color w:val="605E5C"/>
      <w:shd w:val="clear" w:color="auto" w:fill="E1DFDD"/>
    </w:rPr>
  </w:style>
  <w:style w:type="character" w:customStyle="1" w:styleId="Ttulo4Char">
    <w:name w:val="Título 4 Char"/>
    <w:basedOn w:val="Fontepargpadro"/>
    <w:link w:val="Ttulo4"/>
    <w:uiPriority w:val="9"/>
    <w:semiHidden/>
    <w:rsid w:val="0004236A"/>
    <w:rPr>
      <w:rFonts w:asciiTheme="majorHAnsi" w:eastAsiaTheme="majorEastAsia" w:hAnsiTheme="majorHAnsi" w:cstheme="majorBidi"/>
      <w:i/>
      <w:iCs/>
      <w:color w:val="2E74B5"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671">
      <w:bodyDiv w:val="1"/>
      <w:marLeft w:val="0"/>
      <w:marRight w:val="0"/>
      <w:marTop w:val="0"/>
      <w:marBottom w:val="0"/>
      <w:divBdr>
        <w:top w:val="none" w:sz="0" w:space="0" w:color="auto"/>
        <w:left w:val="none" w:sz="0" w:space="0" w:color="auto"/>
        <w:bottom w:val="none" w:sz="0" w:space="0" w:color="auto"/>
        <w:right w:val="none" w:sz="0" w:space="0" w:color="auto"/>
      </w:divBdr>
    </w:div>
    <w:div w:id="172646365">
      <w:bodyDiv w:val="1"/>
      <w:marLeft w:val="0"/>
      <w:marRight w:val="0"/>
      <w:marTop w:val="0"/>
      <w:marBottom w:val="0"/>
      <w:divBdr>
        <w:top w:val="none" w:sz="0" w:space="0" w:color="auto"/>
        <w:left w:val="none" w:sz="0" w:space="0" w:color="auto"/>
        <w:bottom w:val="none" w:sz="0" w:space="0" w:color="auto"/>
        <w:right w:val="none" w:sz="0" w:space="0" w:color="auto"/>
      </w:divBdr>
    </w:div>
    <w:div w:id="512381769">
      <w:bodyDiv w:val="1"/>
      <w:marLeft w:val="0"/>
      <w:marRight w:val="0"/>
      <w:marTop w:val="0"/>
      <w:marBottom w:val="0"/>
      <w:divBdr>
        <w:top w:val="none" w:sz="0" w:space="0" w:color="auto"/>
        <w:left w:val="none" w:sz="0" w:space="0" w:color="auto"/>
        <w:bottom w:val="none" w:sz="0" w:space="0" w:color="auto"/>
        <w:right w:val="none" w:sz="0" w:space="0" w:color="auto"/>
      </w:divBdr>
      <w:divsChild>
        <w:div w:id="1124882278">
          <w:marLeft w:val="0"/>
          <w:marRight w:val="0"/>
          <w:marTop w:val="0"/>
          <w:marBottom w:val="0"/>
          <w:divBdr>
            <w:top w:val="none" w:sz="0" w:space="0" w:color="auto"/>
            <w:left w:val="none" w:sz="0" w:space="0" w:color="auto"/>
            <w:bottom w:val="none" w:sz="0" w:space="0" w:color="auto"/>
            <w:right w:val="none" w:sz="0" w:space="0" w:color="auto"/>
          </w:divBdr>
        </w:div>
        <w:div w:id="330716752">
          <w:marLeft w:val="0"/>
          <w:marRight w:val="0"/>
          <w:marTop w:val="0"/>
          <w:marBottom w:val="0"/>
          <w:divBdr>
            <w:top w:val="none" w:sz="0" w:space="0" w:color="auto"/>
            <w:left w:val="none" w:sz="0" w:space="0" w:color="auto"/>
            <w:bottom w:val="none" w:sz="0" w:space="0" w:color="auto"/>
            <w:right w:val="none" w:sz="0" w:space="0" w:color="auto"/>
          </w:divBdr>
        </w:div>
      </w:divsChild>
    </w:div>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004481277">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153177621">
      <w:bodyDiv w:val="1"/>
      <w:marLeft w:val="0"/>
      <w:marRight w:val="0"/>
      <w:marTop w:val="0"/>
      <w:marBottom w:val="0"/>
      <w:divBdr>
        <w:top w:val="none" w:sz="0" w:space="0" w:color="auto"/>
        <w:left w:val="none" w:sz="0" w:space="0" w:color="auto"/>
        <w:bottom w:val="none" w:sz="0" w:space="0" w:color="auto"/>
        <w:right w:val="none" w:sz="0" w:space="0" w:color="auto"/>
      </w:divBdr>
      <w:divsChild>
        <w:div w:id="1594360527">
          <w:marLeft w:val="0"/>
          <w:marRight w:val="0"/>
          <w:marTop w:val="0"/>
          <w:marBottom w:val="0"/>
          <w:divBdr>
            <w:top w:val="none" w:sz="0" w:space="0" w:color="auto"/>
            <w:left w:val="none" w:sz="0" w:space="0" w:color="auto"/>
            <w:bottom w:val="none" w:sz="0" w:space="0" w:color="auto"/>
            <w:right w:val="none" w:sz="0" w:space="0" w:color="auto"/>
          </w:divBdr>
        </w:div>
        <w:div w:id="1268269732">
          <w:marLeft w:val="0"/>
          <w:marRight w:val="0"/>
          <w:marTop w:val="0"/>
          <w:marBottom w:val="0"/>
          <w:divBdr>
            <w:top w:val="none" w:sz="0" w:space="0" w:color="auto"/>
            <w:left w:val="none" w:sz="0" w:space="0" w:color="auto"/>
            <w:bottom w:val="none" w:sz="0" w:space="0" w:color="auto"/>
            <w:right w:val="none" w:sz="0" w:space="0" w:color="auto"/>
          </w:divBdr>
        </w:div>
      </w:divsChild>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1659310559">
      <w:bodyDiv w:val="1"/>
      <w:marLeft w:val="0"/>
      <w:marRight w:val="0"/>
      <w:marTop w:val="0"/>
      <w:marBottom w:val="0"/>
      <w:divBdr>
        <w:top w:val="none" w:sz="0" w:space="0" w:color="auto"/>
        <w:left w:val="none" w:sz="0" w:space="0" w:color="auto"/>
        <w:bottom w:val="none" w:sz="0" w:space="0" w:color="auto"/>
        <w:right w:val="none" w:sz="0" w:space="0" w:color="auto"/>
      </w:divBdr>
    </w:div>
    <w:div w:id="1669215543">
      <w:bodyDiv w:val="1"/>
      <w:marLeft w:val="0"/>
      <w:marRight w:val="0"/>
      <w:marTop w:val="0"/>
      <w:marBottom w:val="0"/>
      <w:divBdr>
        <w:top w:val="none" w:sz="0" w:space="0" w:color="auto"/>
        <w:left w:val="none" w:sz="0" w:space="0" w:color="auto"/>
        <w:bottom w:val="none" w:sz="0" w:space="0" w:color="auto"/>
        <w:right w:val="none" w:sz="0" w:space="0" w:color="auto"/>
      </w:divBdr>
    </w:div>
    <w:div w:id="1898972952">
      <w:bodyDiv w:val="1"/>
      <w:marLeft w:val="0"/>
      <w:marRight w:val="0"/>
      <w:marTop w:val="0"/>
      <w:marBottom w:val="0"/>
      <w:divBdr>
        <w:top w:val="none" w:sz="0" w:space="0" w:color="auto"/>
        <w:left w:val="none" w:sz="0" w:space="0" w:color="auto"/>
        <w:bottom w:val="none" w:sz="0" w:space="0" w:color="auto"/>
        <w:right w:val="none" w:sz="0" w:space="0" w:color="auto"/>
      </w:divBdr>
    </w:div>
    <w:div w:id="1962806060">
      <w:bodyDiv w:val="1"/>
      <w:marLeft w:val="0"/>
      <w:marRight w:val="0"/>
      <w:marTop w:val="0"/>
      <w:marBottom w:val="0"/>
      <w:divBdr>
        <w:top w:val="none" w:sz="0" w:space="0" w:color="auto"/>
        <w:left w:val="none" w:sz="0" w:space="0" w:color="auto"/>
        <w:bottom w:val="none" w:sz="0" w:space="0" w:color="auto"/>
        <w:right w:val="none" w:sz="0" w:space="0" w:color="auto"/>
      </w:divBdr>
    </w:div>
    <w:div w:id="1976062086">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8322</Words>
  <Characters>44943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3</cp:revision>
  <cp:lastPrinted>2025-06-30T16:27:00Z</cp:lastPrinted>
  <dcterms:created xsi:type="dcterms:W3CDTF">2025-06-30T16:30:00Z</dcterms:created>
  <dcterms:modified xsi:type="dcterms:W3CDTF">2025-06-30T20:09:00Z</dcterms:modified>
</cp:coreProperties>
</file>