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6356" w14:textId="696432E2" w:rsidR="008054C4" w:rsidRPr="00C65BD8" w:rsidRDefault="008054C4" w:rsidP="00AA507C">
      <w:pPr>
        <w:jc w:val="center"/>
        <w:rPr>
          <w:rFonts w:ascii="Times New Roman" w:hAnsi="Times New Roman" w:cs="Times New Roman"/>
          <w:bCs/>
        </w:rPr>
      </w:pPr>
      <w:r w:rsidRPr="00C65BD8">
        <w:rPr>
          <w:rFonts w:ascii="Times New Roman" w:hAnsi="Times New Roman" w:cs="Times New Roman"/>
          <w:bCs/>
        </w:rPr>
        <w:t>TERMO DE REFERÊNCIA</w:t>
      </w:r>
    </w:p>
    <w:p w14:paraId="4400EB3B" w14:textId="133F2A8B" w:rsidR="00370803" w:rsidRPr="00C65BD8"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C65BD8">
        <w:rPr>
          <w:rFonts w:ascii="Times New Roman" w:hAnsi="Times New Roman" w:cs="Times New Roman"/>
          <w:bCs/>
        </w:rPr>
        <w:t>CURSO DE CAPACITAÇÃO</w:t>
      </w:r>
    </w:p>
    <w:p w14:paraId="58A8C217" w14:textId="77777777" w:rsidR="008054C4" w:rsidRPr="00C65BD8" w:rsidRDefault="008054C4" w:rsidP="008054C4">
      <w:pPr>
        <w:jc w:val="center"/>
        <w:rPr>
          <w:rFonts w:ascii="Times New Roman" w:hAnsi="Times New Roman" w:cs="Times New Roman"/>
          <w:b/>
          <w:u w:val="single"/>
        </w:rPr>
      </w:pPr>
    </w:p>
    <w:p w14:paraId="5D2AE344" w14:textId="554BCE59" w:rsidR="008054C4" w:rsidRPr="00C65BD8" w:rsidRDefault="00370803" w:rsidP="008054C4">
      <w:pPr>
        <w:contextualSpacing/>
        <w:jc w:val="both"/>
        <w:rPr>
          <w:rFonts w:ascii="Times New Roman" w:hAnsi="Times New Roman" w:cs="Times New Roman"/>
        </w:rPr>
      </w:pPr>
      <w:r w:rsidRPr="00C65BD8">
        <w:rPr>
          <w:rFonts w:ascii="Times New Roman" w:hAnsi="Times New Roman" w:cs="Times New Roman"/>
          <w:b/>
        </w:rPr>
        <w:t>PROCEDIMENTO N°</w:t>
      </w:r>
      <w:r w:rsidR="00F07DAC">
        <w:rPr>
          <w:rFonts w:ascii="Times New Roman" w:hAnsi="Times New Roman" w:cs="Times New Roman"/>
          <w:b/>
        </w:rPr>
        <w:t xml:space="preserve"> </w:t>
      </w:r>
      <w:r w:rsidR="00B3317E">
        <w:rPr>
          <w:rFonts w:ascii="Times New Roman" w:hAnsi="Times New Roman" w:cs="Times New Roman"/>
          <w:b/>
        </w:rPr>
        <w:t xml:space="preserve">  </w:t>
      </w:r>
      <w:r w:rsidR="008054C4" w:rsidRPr="00C65BD8">
        <w:rPr>
          <w:rFonts w:ascii="Times New Roman" w:hAnsi="Times New Roman" w:cs="Times New Roman"/>
          <w:b/>
        </w:rPr>
        <w:t>/202</w:t>
      </w:r>
      <w:r w:rsidR="00134914">
        <w:rPr>
          <w:rFonts w:ascii="Times New Roman" w:hAnsi="Times New Roman" w:cs="Times New Roman"/>
          <w:b/>
        </w:rPr>
        <w:t>5</w:t>
      </w:r>
      <w:r w:rsidR="008054C4" w:rsidRPr="00C65BD8">
        <w:rPr>
          <w:rFonts w:ascii="Times New Roman" w:hAnsi="Times New Roman" w:cs="Times New Roman"/>
        </w:rPr>
        <w:t>.</w:t>
      </w:r>
    </w:p>
    <w:p w14:paraId="515D8BA8" w14:textId="77777777" w:rsidR="008054C4" w:rsidRPr="00C65BD8" w:rsidRDefault="008054C4" w:rsidP="008054C4">
      <w:pPr>
        <w:contextualSpacing/>
        <w:jc w:val="both"/>
        <w:rPr>
          <w:rFonts w:ascii="Times New Roman" w:hAnsi="Times New Roman" w:cs="Times New Roman"/>
          <w:b/>
        </w:rPr>
      </w:pPr>
      <w:r w:rsidRPr="00C65BD8">
        <w:rPr>
          <w:rFonts w:ascii="Times New Roman" w:hAnsi="Times New Roman" w:cs="Times New Roman"/>
          <w:b/>
        </w:rPr>
        <w:t xml:space="preserve">BASE NORMATIVA: LEI Nº 14.133/21 </w:t>
      </w:r>
    </w:p>
    <w:p w14:paraId="0CC391B6" w14:textId="77777777" w:rsidR="008054C4" w:rsidRPr="00C65BD8" w:rsidRDefault="008054C4" w:rsidP="008054C4">
      <w:pPr>
        <w:contextualSpacing/>
        <w:jc w:val="both"/>
        <w:rPr>
          <w:rFonts w:ascii="Times New Roman" w:hAnsi="Times New Roman" w:cs="Times New Roman"/>
          <w:b/>
        </w:rPr>
      </w:pPr>
    </w:p>
    <w:p w14:paraId="45B9B94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1 - DO OBJETO E DAS ESPECIFICAÇÕES DOS ITENS</w:t>
      </w:r>
    </w:p>
    <w:p w14:paraId="61763F0F" w14:textId="77777777" w:rsidR="008054C4" w:rsidRPr="00C65BD8" w:rsidRDefault="008054C4" w:rsidP="008054C4">
      <w:pPr>
        <w:spacing w:before="120" w:after="120" w:line="360" w:lineRule="auto"/>
        <w:contextualSpacing/>
        <w:jc w:val="both"/>
        <w:rPr>
          <w:rFonts w:ascii="Times New Roman" w:hAnsi="Times New Roman" w:cs="Times New Roman"/>
          <w:u w:val="single"/>
        </w:rPr>
      </w:pPr>
      <w:r w:rsidRPr="00C65BD8">
        <w:rPr>
          <w:rFonts w:ascii="Times New Roman" w:hAnsi="Times New Roman" w:cs="Times New Roman"/>
          <w:u w:val="single"/>
        </w:rPr>
        <w:t>1.1- DO OBJETO:</w:t>
      </w:r>
    </w:p>
    <w:p w14:paraId="105DFF2D" w14:textId="05C070DB"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CONTRATAÇÃO</w:t>
      </w:r>
      <w:r w:rsidR="009638A4" w:rsidRPr="00C65BD8">
        <w:rPr>
          <w:rFonts w:ascii="Times New Roman" w:hAnsi="Times New Roman" w:cs="Times New Roman"/>
        </w:rPr>
        <w:t xml:space="preserve"> PARA PRESTAÇÃO DO</w:t>
      </w:r>
      <w:r w:rsidRPr="00C65BD8">
        <w:rPr>
          <w:rFonts w:ascii="Times New Roman" w:hAnsi="Times New Roman" w:cs="Times New Roman"/>
        </w:rPr>
        <w:t xml:space="preserve"> SERVIÇO DE</w:t>
      </w:r>
      <w:r w:rsidR="009638A4" w:rsidRPr="00C65BD8">
        <w:rPr>
          <w:rFonts w:ascii="Times New Roman" w:hAnsi="Times New Roman" w:cs="Times New Roman"/>
        </w:rPr>
        <w:t xml:space="preserve"> CURSO DE CAPACITAÇÃO E TREINAMENTO</w:t>
      </w:r>
      <w:r w:rsidR="002A5BB6" w:rsidRPr="00C65BD8">
        <w:rPr>
          <w:rFonts w:ascii="Times New Roman" w:hAnsi="Times New Roman" w:cs="Times New Roman"/>
        </w:rPr>
        <w:t xml:space="preserve"> PARA</w:t>
      </w:r>
      <w:r w:rsidR="00C65BD8" w:rsidRPr="00C65BD8">
        <w:rPr>
          <w:rFonts w:ascii="Times New Roman" w:hAnsi="Times New Roman" w:cs="Times New Roman"/>
        </w:rPr>
        <w:t xml:space="preserve"> </w:t>
      </w:r>
      <w:r w:rsidR="00B3317E">
        <w:rPr>
          <w:rFonts w:ascii="Times New Roman" w:hAnsi="Times New Roman" w:cs="Times New Roman"/>
          <w:bCs/>
        </w:rPr>
        <w:t>A</w:t>
      </w:r>
      <w:r w:rsidR="00B3317E" w:rsidRPr="005041EB">
        <w:rPr>
          <w:rFonts w:ascii="Times New Roman" w:hAnsi="Times New Roman" w:cs="Times New Roman"/>
          <w:bCs/>
        </w:rPr>
        <w:t xml:space="preserve"> VEREADOR</w:t>
      </w:r>
      <w:r w:rsidR="00B3317E">
        <w:rPr>
          <w:rFonts w:ascii="Times New Roman" w:hAnsi="Times New Roman" w:cs="Times New Roman"/>
          <w:bCs/>
        </w:rPr>
        <w:t>A</w:t>
      </w:r>
      <w:r w:rsidR="00B3317E" w:rsidRPr="005041EB">
        <w:rPr>
          <w:rFonts w:ascii="Times New Roman" w:hAnsi="Times New Roman" w:cs="Times New Roman"/>
          <w:bCs/>
        </w:rPr>
        <w:t xml:space="preserve"> </w:t>
      </w:r>
      <w:r w:rsidR="00B3317E">
        <w:rPr>
          <w:rFonts w:ascii="Times New Roman" w:hAnsi="Times New Roman" w:cs="Times New Roman"/>
          <w:bCs/>
        </w:rPr>
        <w:t>ADRIANA FÁTIMA DE PAULA MAGALHÃES</w:t>
      </w:r>
      <w:r w:rsidR="00B3317E" w:rsidRPr="005041EB">
        <w:rPr>
          <w:rFonts w:ascii="Times New Roman" w:hAnsi="Times New Roman" w:cs="Times New Roman"/>
          <w:bCs/>
        </w:rPr>
        <w:t xml:space="preserve"> DA CÂMARA MUNICIPAL DE PATROCÍNIO, CONFORME CONDIÇÕES E EXIGÊNCIAS ESTABELECIDAS NESTE INSTRUMENTO</w:t>
      </w:r>
      <w:r w:rsidRPr="00C65BD8">
        <w:rPr>
          <w:rFonts w:ascii="Times New Roman" w:hAnsi="Times New Roman" w:cs="Times New Roman"/>
        </w:rPr>
        <w:t xml:space="preserve">. </w:t>
      </w:r>
    </w:p>
    <w:p w14:paraId="01131F8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C65BD8" w14:paraId="72EFD93C" w14:textId="77777777" w:rsidTr="009638A4">
        <w:tc>
          <w:tcPr>
            <w:tcW w:w="1209" w:type="dxa"/>
          </w:tcPr>
          <w:p w14:paraId="55ADC1D4"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ITEM</w:t>
            </w:r>
          </w:p>
        </w:tc>
        <w:tc>
          <w:tcPr>
            <w:tcW w:w="961" w:type="dxa"/>
          </w:tcPr>
          <w:p w14:paraId="05F1D3E9"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QTDE</w:t>
            </w:r>
          </w:p>
        </w:tc>
        <w:tc>
          <w:tcPr>
            <w:tcW w:w="686" w:type="dxa"/>
          </w:tcPr>
          <w:p w14:paraId="295B542F" w14:textId="77777777" w:rsidR="008054C4" w:rsidRPr="00C65BD8" w:rsidRDefault="008054C4" w:rsidP="009638A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U</w:t>
            </w:r>
            <w:r w:rsidR="009638A4" w:rsidRPr="00C65BD8">
              <w:rPr>
                <w:rFonts w:ascii="Times New Roman" w:hAnsi="Times New Roman" w:cs="Times New Roman"/>
                <w:b/>
              </w:rPr>
              <w:t>N</w:t>
            </w:r>
          </w:p>
        </w:tc>
        <w:tc>
          <w:tcPr>
            <w:tcW w:w="5638" w:type="dxa"/>
          </w:tcPr>
          <w:p w14:paraId="2FB94DF1"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ESPECIFICAÇÃO</w:t>
            </w:r>
          </w:p>
        </w:tc>
      </w:tr>
      <w:tr w:rsidR="00370803" w:rsidRPr="00C65BD8" w14:paraId="5025C975" w14:textId="77777777" w:rsidTr="009638A4">
        <w:tc>
          <w:tcPr>
            <w:tcW w:w="1209" w:type="dxa"/>
          </w:tcPr>
          <w:p w14:paraId="766DC5F5"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w:t>
            </w:r>
          </w:p>
        </w:tc>
        <w:tc>
          <w:tcPr>
            <w:tcW w:w="961" w:type="dxa"/>
          </w:tcPr>
          <w:p w14:paraId="6C504F3F"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w:t>
            </w:r>
          </w:p>
        </w:tc>
        <w:tc>
          <w:tcPr>
            <w:tcW w:w="686" w:type="dxa"/>
          </w:tcPr>
          <w:p w14:paraId="5FFD1ED8"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SE</w:t>
            </w:r>
          </w:p>
        </w:tc>
        <w:tc>
          <w:tcPr>
            <w:tcW w:w="5638" w:type="dxa"/>
          </w:tcPr>
          <w:p w14:paraId="0C952129"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CAPACITACAO E TREINAMENTO EM CURSO PRESENCIAL. CURSO NA AREA LEGISLATIVA.</w:t>
            </w:r>
          </w:p>
        </w:tc>
      </w:tr>
    </w:tbl>
    <w:p w14:paraId="0932E616"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1.3</w:t>
      </w:r>
      <w:r w:rsidRPr="00C65BD8">
        <w:rPr>
          <w:rFonts w:ascii="Times New Roman" w:hAnsi="Times New Roman" w:cs="Times New Roman"/>
          <w:b/>
        </w:rPr>
        <w:t xml:space="preserve"> - </w:t>
      </w:r>
      <w:r w:rsidRPr="00C65BD8">
        <w:rPr>
          <w:rFonts w:ascii="Times New Roman" w:hAnsi="Times New Roman" w:cs="Times New Roman"/>
          <w:bCs/>
        </w:rPr>
        <w:t>Definição acerca da continuidade da entrega dos produtos ou do serviço e alocação de mão de obra:</w:t>
      </w:r>
    </w:p>
    <w:p w14:paraId="00B18215"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Não continuado. SEM dedicação exclusiva de mão de obra.</w:t>
      </w:r>
    </w:p>
    <w:p w14:paraId="34D819ED"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Não continuado. COM dedicação exclusiva de mão de obra.</w:t>
      </w:r>
    </w:p>
    <w:p w14:paraId="616758B6"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Continuado. SEM dedicação exclusiva de mão de obra.</w:t>
      </w:r>
    </w:p>
    <w:p w14:paraId="54C32BA0"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Continuado. COM dedicação exclusiva de mão de obra.</w:t>
      </w:r>
    </w:p>
    <w:p w14:paraId="5E6D71B0"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1.4 - Agrupamento de itens:</w:t>
      </w:r>
    </w:p>
    <w:p w14:paraId="27AF619A"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A presente contratação será por:</w:t>
      </w:r>
    </w:p>
    <w:p w14:paraId="0E4023AB"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  )</w:t>
      </w:r>
      <w:proofErr w:type="gramEnd"/>
      <w:r w:rsidRPr="00C65BD8">
        <w:rPr>
          <w:rFonts w:ascii="Times New Roman" w:hAnsi="Times New Roman" w:cs="Times New Roman"/>
          <w:bCs/>
        </w:rPr>
        <w:t xml:space="preserve"> Itens isolados.</w:t>
      </w:r>
    </w:p>
    <w:p w14:paraId="4DA51EFA"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Grupo de itens. Justificativa: Não se aplica. </w:t>
      </w:r>
    </w:p>
    <w:p w14:paraId="52A23E14" w14:textId="77777777" w:rsidR="00FF466B" w:rsidRPr="00C65BD8" w:rsidRDefault="00FF466B" w:rsidP="00FF466B">
      <w:pPr>
        <w:spacing w:before="120" w:after="120" w:line="360" w:lineRule="auto"/>
        <w:contextualSpacing/>
        <w:jc w:val="both"/>
        <w:rPr>
          <w:rFonts w:ascii="Times New Roman" w:hAnsi="Times New Roman" w:cs="Times New Roman"/>
          <w:bCs/>
        </w:rPr>
      </w:pPr>
    </w:p>
    <w:p w14:paraId="35345644"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2 – VIGÊNCIA DA CONTRATAÇÃO E POSSIBILIDADE DE PRORROGAÇÃO</w:t>
      </w:r>
    </w:p>
    <w:p w14:paraId="33DE2FBE" w14:textId="2C13E44D"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2.1 </w:t>
      </w:r>
      <w:r w:rsidRPr="00C65BD8">
        <w:rPr>
          <w:rFonts w:ascii="Times New Roman" w:hAnsi="Times New Roman" w:cs="Times New Roman"/>
          <w:b/>
        </w:rPr>
        <w:t xml:space="preserve">- </w:t>
      </w:r>
      <w:r w:rsidRPr="00C65BD8">
        <w:rPr>
          <w:rFonts w:ascii="Times New Roman" w:hAnsi="Times New Roman" w:cs="Times New Roman"/>
          <w:bCs/>
        </w:rPr>
        <w:t xml:space="preserve">O início da vigência da presente contratação está previsto para </w:t>
      </w:r>
      <w:r w:rsidR="00B3317E">
        <w:rPr>
          <w:rFonts w:ascii="Times New Roman" w:hAnsi="Times New Roman" w:cs="Times New Roman"/>
          <w:bCs/>
        </w:rPr>
        <w:t>27</w:t>
      </w:r>
      <w:r w:rsidRPr="00C65BD8">
        <w:rPr>
          <w:rFonts w:ascii="Times New Roman" w:hAnsi="Times New Roman" w:cs="Times New Roman"/>
          <w:bCs/>
        </w:rPr>
        <w:t>/</w:t>
      </w:r>
      <w:r>
        <w:rPr>
          <w:rFonts w:ascii="Times New Roman" w:hAnsi="Times New Roman" w:cs="Times New Roman"/>
          <w:bCs/>
        </w:rPr>
        <w:t>0</w:t>
      </w:r>
      <w:r w:rsidR="00B3317E">
        <w:rPr>
          <w:rFonts w:ascii="Times New Roman" w:hAnsi="Times New Roman" w:cs="Times New Roman"/>
          <w:bCs/>
        </w:rPr>
        <w:t>5</w:t>
      </w:r>
      <w:r w:rsidRPr="00C65BD8">
        <w:rPr>
          <w:rFonts w:ascii="Times New Roman" w:hAnsi="Times New Roman" w:cs="Times New Roman"/>
          <w:bCs/>
        </w:rPr>
        <w:t>/202</w:t>
      </w:r>
      <w:r>
        <w:rPr>
          <w:rFonts w:ascii="Times New Roman" w:hAnsi="Times New Roman" w:cs="Times New Roman"/>
          <w:bCs/>
        </w:rPr>
        <w:t>5</w:t>
      </w:r>
      <w:r w:rsidRPr="00C65BD8">
        <w:rPr>
          <w:rFonts w:ascii="Times New Roman" w:hAnsi="Times New Roman" w:cs="Times New Roman"/>
          <w:bCs/>
        </w:rPr>
        <w:t>.</w:t>
      </w:r>
    </w:p>
    <w:p w14:paraId="6DDA58F9"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lastRenderedPageBreak/>
        <w:t>2.2 - A duração da vigência será:</w:t>
      </w:r>
    </w:p>
    <w:p w14:paraId="6C943733"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Pelo seguinte número de meses: 12</w:t>
      </w:r>
    </w:p>
    <w:p w14:paraId="0D168B5A"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  )</w:t>
      </w:r>
      <w:proofErr w:type="gramEnd"/>
      <w:r w:rsidRPr="00C65BD8">
        <w:rPr>
          <w:rFonts w:ascii="Times New Roman" w:hAnsi="Times New Roman" w:cs="Times New Roman"/>
          <w:bCs/>
        </w:rPr>
        <w:t xml:space="preserve"> Até o final do exercício da contratação.</w:t>
      </w:r>
    </w:p>
    <w:p w14:paraId="34ECBDDC"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2.3 - Em caso de vigência superior a 12 meses, justificar a vantajosidade da contratação pelo período solicitado: Não se aplica.</w:t>
      </w:r>
      <w:r w:rsidRPr="00C65BD8">
        <w:rPr>
          <w:rFonts w:ascii="Times New Roman" w:hAnsi="Times New Roman" w:cs="Times New Roman"/>
          <w:bCs/>
        </w:rPr>
        <w:cr/>
        <w:t>2.4 - Possibilidade de prorrogação:</w:t>
      </w:r>
    </w:p>
    <w:p w14:paraId="793C634E"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Não. Em razão de: Não poderá ultrapassar os créditos orçamentários do exercício da contratação.</w:t>
      </w:r>
    </w:p>
    <w:p w14:paraId="1CBAA4FE"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Sim. Número de meses e fundamento legal: Não se aplica.</w:t>
      </w:r>
    </w:p>
    <w:p w14:paraId="3F586F4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EB1C9D0"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3 - DA FUNDAMENTAÇÃO E JUSTIFICATIVA DA CONTRATAÇÃO</w:t>
      </w:r>
    </w:p>
    <w:p w14:paraId="4598144B" w14:textId="1C3A9758"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3.1 - A presente contratação justifica-se pela necessidade dos servidores da Câmara Municipal de Patrocínio s</w:t>
      </w:r>
      <w:r>
        <w:rPr>
          <w:rFonts w:ascii="Times New Roman" w:hAnsi="Times New Roman" w:cs="Times New Roman"/>
        </w:rPr>
        <w:t>e</w:t>
      </w:r>
      <w:r w:rsidRPr="00C65BD8">
        <w:rPr>
          <w:rFonts w:ascii="Times New Roman" w:hAnsi="Times New Roman" w:cs="Times New Roman"/>
        </w:rPr>
        <w:t xml:space="preserve"> capacitarem para uma melhor prestação de serviço no órgão e para o bem da comunidade em geral.</w:t>
      </w:r>
    </w:p>
    <w:p w14:paraId="764F5204"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 xml:space="preserve">3.2 - </w:t>
      </w:r>
      <w:r w:rsidRPr="00D86212">
        <w:rPr>
          <w:rFonts w:ascii="Times New Roman" w:hAnsi="Times New Roman" w:cs="Times New Roman"/>
          <w:color w:val="0070C0"/>
        </w:rPr>
        <w:t xml:space="preserve">A fundamentação da Contratação e de seus quantitativos encontra-se pormenorizada em tópico específico do Estudo Técnico Preliminar, apêndice deste Termo de Referência. Por outro lado, considerando que se trata de hipótese de inexigibilidade de licitação, é necessária a análise da hipótese legal delineada, qual seja: Art. 74, III, “f” da Lei nº 14.133/21. Nesse caminhar, consultando o Estudo Técnico Preliminar, é possível transcrever o seguinte sobre a hipótese legal de inexigibilidade de licitação, bem como sobre os requisitos legais para a contratação: </w:t>
      </w:r>
    </w:p>
    <w:p w14:paraId="5C0A5C50"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14844274"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30F62A5E"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6EC423E6"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com notória especialização é imprescindível à plena satisfação do objeto contratado; D) Notória Especialização e; E) Natureza singular do objeto a ser contratado.  </w:t>
      </w:r>
    </w:p>
    <w:p w14:paraId="75A220E4"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lastRenderedPageBreak/>
        <w:t xml:space="preserve">A) Inviabilidade de competição </w:t>
      </w:r>
    </w:p>
    <w:p w14:paraId="67D4D23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6A91B73C"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732F7387"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7E6FF01C"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B) Serviço Técnico Especializado </w:t>
      </w:r>
    </w:p>
    <w:p w14:paraId="275B5BEF"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76E299B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característica </w:t>
      </w:r>
      <w:proofErr w:type="spellStart"/>
      <w:r w:rsidRPr="00C0558A">
        <w:rPr>
          <w:rFonts w:ascii="Times New Roman" w:hAnsi="Times New Roman" w:cs="Times New Roman"/>
          <w:i/>
          <w:iCs/>
          <w:color w:val="0070C0"/>
        </w:rPr>
        <w:t>esta</w:t>
      </w:r>
      <w:proofErr w:type="spellEnd"/>
      <w:r w:rsidRPr="00C0558A">
        <w:rPr>
          <w:rFonts w:ascii="Times New Roman" w:hAnsi="Times New Roman" w:cs="Times New Roman"/>
          <w:i/>
          <w:iCs/>
          <w:color w:val="0070C0"/>
        </w:rPr>
        <w:t xml:space="preserve"> incluída na descrição dos serviços técnicos especializados previstos pela legislação.</w:t>
      </w:r>
    </w:p>
    <w:p w14:paraId="6E30F785"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lastRenderedPageBreak/>
        <w:t xml:space="preserve">Extrai-se ainda do Documento de Formalização da Demanda, que a presente iniciativa tem o objetivo de contratar pessoa jurídica para prestação de serviços de docência em ação educacional. </w:t>
      </w:r>
    </w:p>
    <w:p w14:paraId="67949FED" w14:textId="28687664" w:rsidR="00FF466B" w:rsidRPr="00F94BCC" w:rsidRDefault="00FF466B" w:rsidP="00F94BCC">
      <w:pPr>
        <w:spacing w:before="120" w:after="120" w:line="360" w:lineRule="auto"/>
        <w:ind w:firstLine="1134"/>
        <w:jc w:val="both"/>
        <w:rPr>
          <w:rFonts w:ascii="Times New Roman" w:hAnsi="Times New Roman" w:cs="Times New Roman"/>
          <w:b/>
          <w:bCs/>
          <w:i/>
          <w:iCs/>
          <w:color w:val="0070C0"/>
        </w:rPr>
      </w:pPr>
      <w:r w:rsidRPr="00C0558A">
        <w:rPr>
          <w:rFonts w:ascii="Times New Roman" w:hAnsi="Times New Roman" w:cs="Times New Roman"/>
          <w:i/>
          <w:iCs/>
          <w:color w:val="0070C0"/>
        </w:rPr>
        <w:t xml:space="preserve">A ação educacional em questão refere-se à contratação do curso denominado </w:t>
      </w:r>
      <w:r w:rsidR="00BC6B73" w:rsidRPr="00BC6B73">
        <w:rPr>
          <w:rFonts w:ascii="Times New Roman" w:hAnsi="Times New Roman" w:cs="Times New Roman"/>
          <w:i/>
          <w:iCs/>
          <w:color w:val="0070C0"/>
        </w:rPr>
        <w:t>“</w:t>
      </w:r>
      <w:r w:rsidR="00B3317E" w:rsidRPr="005041EB">
        <w:rPr>
          <w:rFonts w:ascii="Times New Roman" w:hAnsi="Times New Roman" w:cs="Times New Roman"/>
          <w:b/>
          <w:bCs/>
          <w:i/>
          <w:iCs/>
        </w:rPr>
        <w:t>627º CURSO DE CAPACITAÇÃO PARA: VEREADORES PREFEITOS, VICE-PREFEITOS, SECRETÁRIOS MUNICIPAIS, GESTORES, ASSESSORES E SERVIDORES PÚBLICOS</w:t>
      </w:r>
      <w:r w:rsidR="00BC6B73" w:rsidRPr="00BC6B73">
        <w:rPr>
          <w:rFonts w:ascii="Times New Roman" w:hAnsi="Times New Roman" w:cs="Times New Roman"/>
          <w:i/>
          <w:iCs/>
          <w:color w:val="0070C0"/>
        </w:rPr>
        <w:t>”</w:t>
      </w:r>
    </w:p>
    <w:p w14:paraId="4BC8359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Assim, para a contratação solicitada, é preciso a caracterização de um serviço predominantemente intelectual, o que é o caso da presente contratação. </w:t>
      </w:r>
    </w:p>
    <w:p w14:paraId="5ABDC52A"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C) Demonstração que a contratação de profissional ou empresa com notória especialização é imprescindível à plena satisfação do objeto contratado</w:t>
      </w:r>
    </w:p>
    <w:p w14:paraId="3D41C323"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1EE7D841"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3F5FF47A"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É o caso por exemplo, das 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 Nessas circunstâncias, restará configurada a inviabilidade de competição, haja vista a impossibilidade de comparar objetivamente os possíveis instrutores e os produtos por eles oferecidos. </w:t>
      </w:r>
    </w:p>
    <w:p w14:paraId="3415FBB7" w14:textId="40C547F7" w:rsidR="00F94BCC" w:rsidRPr="00B3317E" w:rsidRDefault="00FF466B" w:rsidP="00B3317E">
      <w:pPr>
        <w:spacing w:before="120" w:after="120" w:line="360" w:lineRule="auto"/>
        <w:ind w:firstLine="1134"/>
        <w:jc w:val="both"/>
        <w:rPr>
          <w:rFonts w:ascii="Times New Roman" w:hAnsi="Times New Roman" w:cs="Times New Roman"/>
          <w:bCs/>
          <w:i/>
          <w:iCs/>
          <w:color w:val="0070C0"/>
        </w:rPr>
      </w:pPr>
      <w:r w:rsidRPr="00C0558A">
        <w:rPr>
          <w:rFonts w:ascii="Times New Roman" w:hAnsi="Times New Roman" w:cs="Times New Roman"/>
          <w:i/>
          <w:iCs/>
          <w:color w:val="0070C0"/>
        </w:rPr>
        <w:t xml:space="preserve">O curso a ser contratado objetiva </w:t>
      </w:r>
      <w:r w:rsidRPr="00570D80">
        <w:rPr>
          <w:rFonts w:ascii="Times New Roman" w:hAnsi="Times New Roman" w:cs="Times New Roman"/>
          <w:i/>
          <w:iCs/>
          <w:color w:val="0070C0"/>
        </w:rPr>
        <w:t xml:space="preserve">capacitar </w:t>
      </w:r>
      <w:r w:rsidR="00B3317E">
        <w:rPr>
          <w:rFonts w:ascii="Times New Roman" w:hAnsi="Times New Roman" w:cs="Times New Roman"/>
          <w:i/>
          <w:iCs/>
          <w:color w:val="0070C0"/>
        </w:rPr>
        <w:t xml:space="preserve">a </w:t>
      </w:r>
      <w:r w:rsidR="00BC6B73">
        <w:rPr>
          <w:rFonts w:ascii="Times New Roman" w:hAnsi="Times New Roman" w:cs="Times New Roman"/>
          <w:i/>
          <w:iCs/>
          <w:color w:val="0070C0"/>
        </w:rPr>
        <w:t>servid</w:t>
      </w:r>
      <w:r w:rsidRPr="00570D80">
        <w:rPr>
          <w:rFonts w:ascii="Times New Roman" w:hAnsi="Times New Roman" w:cs="Times New Roman"/>
          <w:i/>
          <w:iCs/>
          <w:color w:val="0070C0"/>
        </w:rPr>
        <w:t>or</w:t>
      </w:r>
      <w:r w:rsidR="00B3317E">
        <w:rPr>
          <w:rFonts w:ascii="Times New Roman" w:hAnsi="Times New Roman" w:cs="Times New Roman"/>
          <w:i/>
          <w:iCs/>
          <w:color w:val="0070C0"/>
        </w:rPr>
        <w:t>a</w:t>
      </w:r>
      <w:r w:rsidRPr="00570D80">
        <w:rPr>
          <w:rFonts w:ascii="Times New Roman" w:hAnsi="Times New Roman" w:cs="Times New Roman"/>
          <w:i/>
          <w:iCs/>
          <w:color w:val="0070C0"/>
        </w:rPr>
        <w:t xml:space="preserve">, </w:t>
      </w:r>
      <w:r w:rsidR="00BC6B73" w:rsidRPr="00DC3141">
        <w:rPr>
          <w:rFonts w:ascii="Times New Roman" w:hAnsi="Times New Roman" w:cs="Times New Roman"/>
          <w:i/>
          <w:iCs/>
          <w:color w:val="000000"/>
        </w:rPr>
        <w:t>a fim de que el</w:t>
      </w:r>
      <w:r w:rsidR="00FB6B8E" w:rsidRPr="00DC3141">
        <w:rPr>
          <w:rFonts w:ascii="Times New Roman" w:hAnsi="Times New Roman" w:cs="Times New Roman"/>
          <w:i/>
          <w:iCs/>
          <w:color w:val="000000"/>
        </w:rPr>
        <w:t>a</w:t>
      </w:r>
      <w:r w:rsidR="00BC6B73" w:rsidRPr="00DC3141">
        <w:rPr>
          <w:rFonts w:ascii="Times New Roman" w:hAnsi="Times New Roman" w:cs="Times New Roman"/>
          <w:i/>
          <w:iCs/>
          <w:color w:val="000000"/>
        </w:rPr>
        <w:t xml:space="preserve"> possa desempenhar suas atividades com maior qualidade e acuidade, principalmente no </w:t>
      </w:r>
      <w:r w:rsidR="00BC6B73" w:rsidRPr="00DC3141">
        <w:rPr>
          <w:rFonts w:ascii="Times New Roman" w:hAnsi="Times New Roman" w:cs="Times New Roman"/>
          <w:i/>
          <w:iCs/>
          <w:color w:val="000000"/>
        </w:rPr>
        <w:lastRenderedPageBreak/>
        <w:t xml:space="preserve">que concerne a assuntos relacionados à Câmara Municipal </w:t>
      </w:r>
      <w:r w:rsidR="00FB6B8E" w:rsidRPr="00DC3141">
        <w:rPr>
          <w:rFonts w:ascii="Times New Roman" w:hAnsi="Times New Roman" w:cs="Times New Roman"/>
          <w:i/>
          <w:iCs/>
          <w:color w:val="000000"/>
        </w:rPr>
        <w:t xml:space="preserve">e suas atividades como </w:t>
      </w:r>
      <w:r w:rsidR="00B3317E">
        <w:rPr>
          <w:rFonts w:ascii="Times New Roman" w:hAnsi="Times New Roman" w:cs="Times New Roman"/>
          <w:i/>
          <w:iCs/>
          <w:color w:val="000000"/>
        </w:rPr>
        <w:t>Vereadora</w:t>
      </w:r>
      <w:r w:rsidR="00FB6B8E" w:rsidRPr="00DC3141">
        <w:rPr>
          <w:rFonts w:ascii="Times New Roman" w:hAnsi="Times New Roman" w:cs="Times New Roman"/>
          <w:i/>
          <w:iCs/>
          <w:color w:val="000000"/>
        </w:rPr>
        <w:t xml:space="preserve"> da</w:t>
      </w:r>
      <w:r w:rsidR="00BC6B73" w:rsidRPr="00DC3141">
        <w:rPr>
          <w:rFonts w:ascii="Times New Roman" w:hAnsi="Times New Roman" w:cs="Times New Roman"/>
          <w:i/>
          <w:iCs/>
          <w:color w:val="000000"/>
        </w:rPr>
        <w:t xml:space="preserve"> Câmara Municipal de Patrocínio.</w:t>
      </w:r>
      <w:r w:rsidRPr="00570D80">
        <w:rPr>
          <w:rFonts w:ascii="Times New Roman" w:hAnsi="Times New Roman" w:cs="Times New Roman"/>
          <w:i/>
          <w:iCs/>
          <w:color w:val="0070C0"/>
        </w:rPr>
        <w:t xml:space="preserve"> </w:t>
      </w:r>
      <w:r w:rsidR="00B3317E" w:rsidRPr="005041EB">
        <w:rPr>
          <w:rFonts w:ascii="Times New Roman" w:hAnsi="Times New Roman" w:cs="Times New Roman"/>
          <w:bCs/>
          <w:i/>
          <w:iCs/>
          <w:color w:val="0070C0"/>
        </w:rPr>
        <w:t>O curso abordará tópicos como Fundamentos da Inconstitucionalidade de Normas no Âmbito Municipal; Atribuições Fiscalizatórias da Câmara no Controle da Administração; Fiscalização Contábil, Financeira e Orçamentária com ou sem o Tribunal de Contas; Competência Julgadora do Legislativo: Quando e como atua?; Procedimentos para Julgamento Político-Administrativo de Agentes Políticos; Aplicação do Regimento Interno como Instrumento Normativo nos Julgamentos; Contas Anuais do Prefeito: Aspectos Técnicos, Políticos e Jurídicos; Garantias Processuais na Atuação Fiscalizadora: Contraditório e Ampla Defesa; Atribuições Legislativas: O que compete exclusivamente ao Poder Legislativo Municipal?; Legalidade Administrativa e o Papel do Legislador na Produção de Normas; Ciclo Legislativo Municipal: Etapas e Atos Formais do Processo; Proposições de Iniciativa Legislativa Privativa da Câmara; Estruturação e Fundamentação Técnica de Projetos de Lei; Fluxo do Processo Legislativo: Da Apresentação à Promulgação</w:t>
      </w:r>
      <w:r w:rsidRPr="00C0558A">
        <w:rPr>
          <w:rFonts w:ascii="Times New Roman" w:hAnsi="Times New Roman" w:cs="Times New Roman"/>
          <w:i/>
          <w:iCs/>
          <w:color w:val="0070C0"/>
        </w:rPr>
        <w:t>.</w:t>
      </w:r>
    </w:p>
    <w:p w14:paraId="3C306A50" w14:textId="5E2106FD" w:rsidR="00FF466B" w:rsidRPr="00C0558A" w:rsidRDefault="00FF466B" w:rsidP="00F94BCC">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 Nesse sentido, o</w:t>
      </w:r>
      <w:r w:rsidR="00BC6B73">
        <w:rPr>
          <w:rFonts w:ascii="Times New Roman" w:hAnsi="Times New Roman" w:cs="Times New Roman"/>
          <w:i/>
          <w:iCs/>
          <w:color w:val="0070C0"/>
        </w:rPr>
        <w:t>s</w:t>
      </w:r>
      <w:r w:rsidRPr="00C0558A">
        <w:rPr>
          <w:rFonts w:ascii="Times New Roman" w:hAnsi="Times New Roman" w:cs="Times New Roman"/>
          <w:i/>
          <w:iCs/>
          <w:color w:val="0070C0"/>
        </w:rPr>
        <w:t xml:space="preserve"> servidores devem ser capacitados continuamente para o regular exercício de suas atribuições, notadamente porque as atividades desempenhadas pelos agentes públicos estão sujeitas à constante atualização procedimental e de conteúdo. </w:t>
      </w:r>
    </w:p>
    <w:p w14:paraId="286B5FDF"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D) Notória especialização para escolha do fornecedor</w:t>
      </w:r>
    </w:p>
    <w:p w14:paraId="3A49BB90"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Outro requisito também mantido na Lei federal nº 14.133, de 2021, a notória especialização do profissional deve estar relacionada ao objeto pretendido, e, segundo a doutrina, precisa estar intimamente relacionada com a singularidade intentada pela Administração. O conceito reproduzido no § 3º do art. 74 da Lei federal nº 14.133, de 2021 se refere ao requisito da atividade da pessoa permitir inferir que o trabalho é essencial e reconhecidamente o mais adequado à plena satisfação do objeto do contrato. </w:t>
      </w:r>
    </w:p>
    <w:p w14:paraId="39AD5D14"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Pr="00C0558A">
        <w:rPr>
          <w:rFonts w:ascii="Times New Roman" w:hAnsi="Times New Roman" w:cs="Times New Roman"/>
          <w:i/>
          <w:iCs/>
          <w:color w:val="0070C0"/>
        </w:rPr>
        <w:t>ii</w:t>
      </w:r>
      <w:proofErr w:type="spellEnd"/>
      <w:r w:rsidRPr="00C0558A">
        <w:rPr>
          <w:rFonts w:ascii="Times New Roman" w:hAnsi="Times New Roman" w:cs="Times New Roman"/>
          <w:i/>
          <w:iCs/>
          <w:color w:val="0070C0"/>
        </w:rPr>
        <w:t xml:space="preserve">) se a notória </w:t>
      </w:r>
      <w:r w:rsidRPr="00C0558A">
        <w:rPr>
          <w:rFonts w:ascii="Times New Roman" w:hAnsi="Times New Roman" w:cs="Times New Roman"/>
          <w:i/>
          <w:iCs/>
          <w:color w:val="0070C0"/>
        </w:rPr>
        <w:lastRenderedPageBreak/>
        <w:t>especialização está relacionada com o serviço técnico especializado singular objeto da contratação.</w:t>
      </w:r>
    </w:p>
    <w:p w14:paraId="4AD892F8"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p>
    <w:p w14:paraId="718B119A"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No caso concreto, é difícil estabelecer padrões adequados de competição para escolher de maneira isenta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 senão vejamos:</w:t>
      </w:r>
    </w:p>
    <w:p w14:paraId="7F2F3528"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w:t>
      </w:r>
      <w:proofErr w:type="spellStart"/>
      <w:r w:rsidRPr="00C0558A">
        <w:rPr>
          <w:rFonts w:ascii="Times New Roman" w:hAnsi="Times New Roman" w:cs="Times New Roman"/>
          <w:i/>
          <w:iCs/>
          <w:color w:val="0070C0"/>
          <w:sz w:val="20"/>
          <w:szCs w:val="20"/>
        </w:rPr>
        <w:t>Rigolin</w:t>
      </w:r>
      <w:proofErr w:type="spellEnd"/>
      <w:r w:rsidRPr="00C0558A">
        <w:rPr>
          <w:rFonts w:ascii="Times New Roman" w:hAnsi="Times New Roman" w:cs="Times New Roman"/>
          <w:i/>
          <w:iCs/>
          <w:color w:val="0070C0"/>
          <w:sz w:val="20"/>
          <w:szCs w:val="20"/>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C0558A">
        <w:rPr>
          <w:rFonts w:ascii="Times New Roman" w:hAnsi="Times New Roman" w:cs="Times New Roman"/>
          <w:b/>
          <w:bCs/>
          <w:i/>
          <w:iCs/>
          <w:color w:val="0070C0"/>
          <w:sz w:val="20"/>
          <w:szCs w:val="20"/>
          <w:u w:val="singl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C0558A">
        <w:rPr>
          <w:rFonts w:ascii="Times New Roman" w:hAnsi="Times New Roman" w:cs="Times New Roman"/>
          <w:i/>
          <w:iCs/>
          <w:color w:val="0070C0"/>
          <w:sz w:val="20"/>
          <w:szCs w:val="20"/>
        </w:rPr>
        <w:t xml:space="preserve"> </w:t>
      </w:r>
      <w:proofErr w:type="gramStart"/>
      <w:r w:rsidRPr="00C0558A">
        <w:rPr>
          <w:rFonts w:ascii="Times New Roman" w:hAnsi="Times New Roman" w:cs="Times New Roman"/>
          <w:i/>
          <w:iCs/>
          <w:color w:val="0070C0"/>
          <w:sz w:val="20"/>
          <w:szCs w:val="20"/>
        </w:rPr>
        <w:t>( "</w:t>
      </w:r>
      <w:proofErr w:type="gramEnd"/>
      <w:r w:rsidRPr="00C0558A">
        <w:rPr>
          <w:rFonts w:ascii="Times New Roman" w:hAnsi="Times New Roman" w:cs="Times New Roman"/>
          <w:i/>
          <w:iCs/>
          <w:color w:val="0070C0"/>
          <w:sz w:val="20"/>
          <w:szCs w:val="20"/>
        </w:rPr>
        <w:t xml:space="preserve">Treinamento de Pessoal - Natureza da Contratação" "in" Boletim de Direito Administrativo - Março de 1993, págs. 176/79- grifo nosso) 5. Nessa mesma linha de raciocínio, destaco pensamento do administrativista Antônio Carlos Cintra do Amaral, que ao discorrer sobre </w:t>
      </w:r>
      <w:r w:rsidRPr="00C0558A">
        <w:rPr>
          <w:rFonts w:ascii="Times New Roman" w:hAnsi="Times New Roman" w:cs="Times New Roman"/>
          <w:i/>
          <w:iCs/>
          <w:color w:val="0070C0"/>
          <w:sz w:val="20"/>
          <w:szCs w:val="20"/>
        </w:rPr>
        <w:lastRenderedPageBreak/>
        <w:t>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5117353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p>
    <w:p w14:paraId="02627327" w14:textId="75A2C449" w:rsidR="00FF466B" w:rsidRPr="00B8651B" w:rsidRDefault="00FF466B" w:rsidP="00B3317E">
      <w:pPr>
        <w:spacing w:before="120" w:after="120" w:line="360" w:lineRule="auto"/>
        <w:ind w:firstLine="1134"/>
        <w:jc w:val="both"/>
        <w:rPr>
          <w:rFonts w:ascii="Times New Roman" w:hAnsi="Times New Roman" w:cs="Times New Roman"/>
          <w:b/>
          <w:bCs/>
          <w:i/>
          <w:iCs/>
          <w:color w:val="0070C0"/>
        </w:rPr>
      </w:pPr>
      <w:r w:rsidRPr="00C0558A">
        <w:rPr>
          <w:rFonts w:ascii="Times New Roman" w:hAnsi="Times New Roman" w:cs="Times New Roman"/>
          <w:i/>
          <w:iCs/>
          <w:color w:val="0070C0"/>
        </w:rPr>
        <w:t xml:space="preserve">Diante da singularidade dos serviços prestado, a escolha da empresa </w:t>
      </w:r>
      <w:r w:rsidRPr="00570D80">
        <w:rPr>
          <w:rFonts w:ascii="Times New Roman" w:hAnsi="Times New Roman" w:cs="Times New Roman"/>
          <w:i/>
          <w:iCs/>
          <w:color w:val="0070C0"/>
        </w:rPr>
        <w:t>“</w:t>
      </w:r>
      <w:r w:rsidR="00B3317E" w:rsidRPr="005041EB">
        <w:rPr>
          <w:rFonts w:ascii="Times New Roman" w:hAnsi="Times New Roman" w:cs="Times New Roman"/>
          <w:b/>
          <w:bCs/>
          <w:i/>
          <w:iCs/>
          <w:color w:val="0070C0"/>
        </w:rPr>
        <w:t xml:space="preserve">INSTITUTO GLOBAL DE ADMINISTRAÇÃO PÚBLICA”, </w:t>
      </w:r>
      <w:r w:rsidR="00B3317E" w:rsidRPr="005041EB">
        <w:rPr>
          <w:rFonts w:ascii="Times New Roman" w:hAnsi="Times New Roman" w:cs="Times New Roman"/>
          <w:i/>
          <w:iCs/>
          <w:color w:val="0070C0"/>
        </w:rPr>
        <w:t>por meio do</w:t>
      </w:r>
      <w:r w:rsidR="00B3317E">
        <w:rPr>
          <w:rFonts w:ascii="Times New Roman" w:hAnsi="Times New Roman" w:cs="Times New Roman"/>
          <w:i/>
          <w:iCs/>
          <w:color w:val="0070C0"/>
        </w:rPr>
        <w:t xml:space="preserve"> </w:t>
      </w:r>
      <w:proofErr w:type="gramStart"/>
      <w:r w:rsidR="00B3317E">
        <w:rPr>
          <w:rFonts w:ascii="Times New Roman" w:hAnsi="Times New Roman" w:cs="Times New Roman"/>
          <w:i/>
          <w:iCs/>
          <w:color w:val="0070C0"/>
        </w:rPr>
        <w:t xml:space="preserve">docente </w:t>
      </w:r>
      <w:r w:rsidR="00B3317E" w:rsidRPr="005041EB">
        <w:rPr>
          <w:rFonts w:ascii="Times New Roman" w:hAnsi="Times New Roman" w:cs="Times New Roman"/>
          <w:b/>
          <w:bCs/>
          <w:i/>
          <w:iCs/>
          <w:color w:val="0070C0"/>
        </w:rPr>
        <w:t> Dr.</w:t>
      </w:r>
      <w:proofErr w:type="gramEnd"/>
      <w:r w:rsidR="00B3317E" w:rsidRPr="005041EB">
        <w:rPr>
          <w:rFonts w:ascii="Times New Roman" w:hAnsi="Times New Roman" w:cs="Times New Roman"/>
          <w:b/>
          <w:bCs/>
          <w:i/>
          <w:iCs/>
          <w:color w:val="0070C0"/>
        </w:rPr>
        <w:t xml:space="preserve"> Eder Lima Palma, </w:t>
      </w:r>
      <w:r w:rsidR="00B3317E" w:rsidRPr="005041EB">
        <w:rPr>
          <w:rFonts w:ascii="Times New Roman" w:hAnsi="Times New Roman" w:cs="Times New Roman"/>
          <w:i/>
          <w:iCs/>
          <w:color w:val="0070C0"/>
        </w:rPr>
        <w:t>se dá por meio de uma decisão estratégica para atender as necessidades apontadas pelo demandante. A escolha dos docentes de notória especialização se dá de acordo com sua 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do cronograma do curso e do currículo do professor</w:t>
      </w:r>
      <w:r w:rsidRPr="00B3317E">
        <w:rPr>
          <w:rFonts w:ascii="Times New Roman" w:hAnsi="Times New Roman" w:cs="Times New Roman"/>
          <w:i/>
          <w:iCs/>
          <w:color w:val="0070C0"/>
        </w:rPr>
        <w:t xml:space="preserve">. </w:t>
      </w:r>
    </w:p>
    <w:p w14:paraId="70C6FD49" w14:textId="77777777" w:rsidR="00B3317E" w:rsidRPr="00B3317E" w:rsidRDefault="00B3317E" w:rsidP="00B3317E">
      <w:pPr>
        <w:spacing w:before="120" w:after="120" w:line="360" w:lineRule="auto"/>
        <w:ind w:firstLine="1134"/>
        <w:jc w:val="both"/>
        <w:rPr>
          <w:rFonts w:ascii="Times New Roman" w:hAnsi="Times New Roman" w:cs="Times New Roman"/>
          <w:bCs/>
          <w:i/>
          <w:iCs/>
          <w:color w:val="0070C0"/>
        </w:rPr>
      </w:pPr>
      <w:r w:rsidRPr="00B3317E">
        <w:rPr>
          <w:rFonts w:ascii="Times New Roman" w:hAnsi="Times New Roman" w:cs="Times New Roman"/>
          <w:bCs/>
          <w:i/>
          <w:iCs/>
          <w:color w:val="0070C0"/>
        </w:rPr>
        <w:t>Nesse sentido, conforme currículo apresentado, </w:t>
      </w:r>
      <w:r w:rsidRPr="00B3317E">
        <w:rPr>
          <w:rFonts w:ascii="Times New Roman" w:hAnsi="Times New Roman" w:cs="Times New Roman"/>
          <w:b/>
          <w:bCs/>
          <w:i/>
          <w:iCs/>
          <w:color w:val="0070C0"/>
        </w:rPr>
        <w:t xml:space="preserve">o Dr. Eder Lima Palma </w:t>
      </w:r>
      <w:r w:rsidRPr="00B3317E">
        <w:rPr>
          <w:rFonts w:ascii="Times New Roman" w:hAnsi="Times New Roman" w:cs="Times New Roman"/>
          <w:i/>
          <w:iCs/>
          <w:color w:val="0070C0"/>
        </w:rPr>
        <w:t xml:space="preserve">é Advogado, Graduado em Direito pela </w:t>
      </w:r>
      <w:proofErr w:type="spellStart"/>
      <w:r w:rsidRPr="00B3317E">
        <w:rPr>
          <w:rFonts w:ascii="Times New Roman" w:hAnsi="Times New Roman" w:cs="Times New Roman"/>
          <w:i/>
          <w:iCs/>
          <w:color w:val="0070C0"/>
        </w:rPr>
        <w:t>Unisepe</w:t>
      </w:r>
      <w:proofErr w:type="spellEnd"/>
      <w:r w:rsidRPr="00B3317E">
        <w:rPr>
          <w:rFonts w:ascii="Times New Roman" w:hAnsi="Times New Roman" w:cs="Times New Roman"/>
          <w:i/>
          <w:iCs/>
          <w:color w:val="0070C0"/>
        </w:rPr>
        <w:t>, Faculdade de São Lourenço-MG; Pós-Graduado em Direito Administrativo pela Pontíficia Universidade Católica de Minas Gerais (PUC/MINAS); Pós-Graduado em Direito Eleitoral com Capacitação para o Ensino no Magistério Superior e Pós-Graduado em Planejamento e Orçamento Público. Coordenador Acadêmico da Empresa Gênesis Capacitação em Gestão Pública e Instituto Global de Administração Pública. Palestrante com mais de 500 cursos ministrados na área de Administração Pública.</w:t>
      </w:r>
    </w:p>
    <w:p w14:paraId="0DEAE7C8"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Além disso, a empresa fornecedora do curso é estabelecida no mercado, sendo reconhecida pelo oferecimento de treinamentos e formação educacional. </w:t>
      </w:r>
    </w:p>
    <w:p w14:paraId="07CA9ABB"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É a partir dos aspectos apresentados que o requisito da notória especialização resta configurado. </w:t>
      </w:r>
    </w:p>
    <w:p w14:paraId="029EBED2"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lastRenderedPageBreak/>
        <w:t xml:space="preserve">E) Natureza singular do objeto a ser contratado.  </w:t>
      </w:r>
    </w:p>
    <w:p w14:paraId="1F0B2B53"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0A89C901"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a notória especialização e o serviço singular objeto do procedimento. </w:t>
      </w:r>
    </w:p>
    <w:p w14:paraId="62F0D82B"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Assim, serviço singular é aquele em que o prestador possui conhecimento aprofundado e, por isso, trata-se de atividade diferenciada, mas jamais única ou exclusiva (até porque se fosse exclusiva, a inexigibilidade seria fundamentada pelo inciso I, do art. 74, da Lei nº 14.133/21 e não pelo art. 74, III, “f” da referida lei). </w:t>
      </w:r>
    </w:p>
    <w:p w14:paraId="4CA1DB4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Nesse contexto, na inexigibilidade de licitação para contratação de serviço técnico especializado, com profissionais ou empresas de notória especialização, no âmbito da Lei federal nº 14.133, de 2021, a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C0558A">
        <w:rPr>
          <w:rFonts w:ascii="Times New Roman" w:hAnsi="Times New Roman" w:cs="Times New Roman"/>
          <w:i/>
          <w:iCs/>
          <w:color w:val="0070C0"/>
        </w:rPr>
        <w:t>ii</w:t>
      </w:r>
      <w:proofErr w:type="spellEnd"/>
      <w:r w:rsidRPr="00C0558A">
        <w:rPr>
          <w:rFonts w:ascii="Times New Roman" w:hAnsi="Times New Roman" w:cs="Times New Roman"/>
          <w:i/>
          <w:iCs/>
          <w:color w:val="0070C0"/>
        </w:rPr>
        <w:t xml:space="preserve">) os serviços apresentam complexidade técnica e devem ser feitos sob encomenda por um terceiro, devendo este reunir um conjunto de atributos que não podem ser mensurados por critérios objetivos; e </w:t>
      </w:r>
      <w:proofErr w:type="spellStart"/>
      <w:r w:rsidRPr="00C0558A">
        <w:rPr>
          <w:rFonts w:ascii="Times New Roman" w:hAnsi="Times New Roman" w:cs="Times New Roman"/>
          <w:i/>
          <w:iCs/>
          <w:color w:val="0070C0"/>
        </w:rPr>
        <w:t>iii</w:t>
      </w:r>
      <w:proofErr w:type="spellEnd"/>
      <w:r w:rsidRPr="00C0558A">
        <w:rPr>
          <w:rFonts w:ascii="Times New Roman" w:hAnsi="Times New Roman" w:cs="Times New Roman"/>
          <w:i/>
          <w:iCs/>
          <w:color w:val="0070C0"/>
        </w:rPr>
        <w:t>) os serviços não devem ser padronizados, básicos e convencionais.</w:t>
      </w:r>
    </w:p>
    <w:p w14:paraId="78666E6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Os serviços de docência para os fins das ações educacionais pretendidas, devem ser caracterizados, via de regra, como singulares, uma vez que não se tratam de atuações padronizadas e, com isso, comparáveis entre si. Pelo contrário, ministrar uma aula ou elaborar um conteúdo educacional é algo peculiar, que resulta da aplicação da formação, da experiência profissional e docente e de metodologias próprias do docente </w:t>
      </w:r>
      <w:r w:rsidRPr="00C0558A">
        <w:rPr>
          <w:rFonts w:ascii="Times New Roman" w:hAnsi="Times New Roman" w:cs="Times New Roman"/>
          <w:i/>
          <w:iCs/>
          <w:color w:val="0070C0"/>
        </w:rPr>
        <w:lastRenderedPageBreak/>
        <w:t>definido, as quais, a princípio, não poderiam ser simplesmente replicadas por qualquer outra pessoa. Com efeito, segue o seguinte ensinamento:</w:t>
      </w:r>
    </w:p>
    <w:p w14:paraId="0CA6ABC2"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C0558A">
        <w:rPr>
          <w:rFonts w:ascii="Times New Roman" w:hAnsi="Times New Roman" w:cs="Times New Roman"/>
          <w:b/>
          <w:bCs/>
          <w:i/>
          <w:iCs/>
          <w:color w:val="0070C0"/>
          <w:sz w:val="20"/>
          <w:szCs w:val="20"/>
          <w:u w:val="singl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C0558A">
        <w:rPr>
          <w:rFonts w:ascii="Times New Roman" w:hAnsi="Times New Roman" w:cs="Times New Roman"/>
          <w:i/>
          <w:iCs/>
          <w:color w:val="0070C0"/>
          <w:sz w:val="20"/>
          <w:szCs w:val="20"/>
        </w:rPr>
        <w:t xml:space="preserve"> (...) Tudo isso requer do profissional, a cada serviço, 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 (CHAVES, Luiz Cláudio de Azevedo. Contratação de serviços de treinamento e aperfeiçoamento de pessoal na administração pública: caso de licitação, dispensa ou inexigibilidade</w:t>
      </w:r>
      <w:proofErr w:type="gramStart"/>
      <w:r w:rsidRPr="00C0558A">
        <w:rPr>
          <w:rFonts w:ascii="Times New Roman" w:hAnsi="Times New Roman" w:cs="Times New Roman"/>
          <w:i/>
          <w:iCs/>
          <w:color w:val="0070C0"/>
          <w:sz w:val="20"/>
          <w:szCs w:val="20"/>
        </w:rPr>
        <w:t>? .</w:t>
      </w:r>
      <w:proofErr w:type="gramEnd"/>
      <w:r w:rsidRPr="00C0558A">
        <w:rPr>
          <w:rFonts w:ascii="Times New Roman" w:hAnsi="Times New Roman" w:cs="Times New Roman"/>
          <w:i/>
          <w:iCs/>
          <w:color w:val="0070C0"/>
          <w:sz w:val="20"/>
          <w:szCs w:val="20"/>
        </w:rPr>
        <w:t xml:space="preserve"> IDEMP - Instituto de Desenvolvimento Empresarial, Rio de Janeiro, pp. 3- 4. Disponível em: http://idemp-edu.com.br/uploads/artigos/contratacaoservicostreinamento.pdf)(grifei)</w:t>
      </w:r>
    </w:p>
    <w:p w14:paraId="7117DD75"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3B97C33F"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 professor Ricardo Alexandre Sampaio também preleciona: </w:t>
      </w:r>
    </w:p>
    <w:p w14:paraId="482A1789"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Ora, na situação em exame, em que pese diversos particulares possam atender a demanda da Administração, ministrando cursos in </w:t>
      </w:r>
      <w:proofErr w:type="spellStart"/>
      <w:r w:rsidRPr="00C0558A">
        <w:rPr>
          <w:rFonts w:ascii="Times New Roman" w:hAnsi="Times New Roman" w:cs="Times New Roman"/>
          <w:i/>
          <w:iCs/>
          <w:color w:val="0070C0"/>
          <w:sz w:val="20"/>
          <w:szCs w:val="20"/>
        </w:rPr>
        <w:t>company</w:t>
      </w:r>
      <w:proofErr w:type="spellEnd"/>
      <w:r w:rsidRPr="00C0558A">
        <w:rPr>
          <w:rFonts w:ascii="Times New Roman" w:hAnsi="Times New Roman" w:cs="Times New Roman"/>
          <w:i/>
          <w:iCs/>
          <w:color w:val="0070C0"/>
          <w:sz w:val="20"/>
          <w:szCs w:val="20"/>
        </w:rPr>
        <w:t xml:space="preserve"> para capacitação dos servidores, </w:t>
      </w:r>
      <w:r w:rsidRPr="00C0558A">
        <w:rPr>
          <w:rFonts w:ascii="Times New Roman" w:hAnsi="Times New Roman" w:cs="Times New Roman"/>
          <w:b/>
          <w:bCs/>
          <w:i/>
          <w:iCs/>
          <w:color w:val="0070C0"/>
          <w:sz w:val="20"/>
          <w:szCs w:val="20"/>
          <w:u w:val="singl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C0558A">
        <w:rPr>
          <w:rFonts w:ascii="Times New Roman" w:hAnsi="Times New Roman" w:cs="Times New Roman"/>
          <w:i/>
          <w:iCs/>
          <w:color w:val="0070C0"/>
          <w:sz w:val="20"/>
          <w:szCs w:val="20"/>
        </w:rPr>
        <w:t xml:space="preserve">. (SAMPAIO, Ricardo Alexandre. Inaplicabilidade do pregão à contratação de cursos in </w:t>
      </w:r>
      <w:proofErr w:type="spellStart"/>
      <w:r w:rsidRPr="00C0558A">
        <w:rPr>
          <w:rFonts w:ascii="Times New Roman" w:hAnsi="Times New Roman" w:cs="Times New Roman"/>
          <w:i/>
          <w:iCs/>
          <w:color w:val="0070C0"/>
          <w:sz w:val="20"/>
          <w:szCs w:val="20"/>
        </w:rPr>
        <w:t>company</w:t>
      </w:r>
      <w:proofErr w:type="spellEnd"/>
      <w:r w:rsidRPr="00C0558A">
        <w:rPr>
          <w:rFonts w:ascii="Times New Roman" w:hAnsi="Times New Roman" w:cs="Times New Roman"/>
          <w:i/>
          <w:iCs/>
          <w:color w:val="0070C0"/>
          <w:sz w:val="20"/>
          <w:szCs w:val="20"/>
        </w:rPr>
        <w:t xml:space="preserve"> para capacitação de servidores. Revista Zênite – Informativo de Licitações e Contratos (ILC), Curitiba: Zênite, 2014 n. 242, p. 361) (grifei)</w:t>
      </w:r>
    </w:p>
    <w:p w14:paraId="11D5BFD5"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502D18C8" w14:textId="77777777" w:rsidR="00FF466B" w:rsidRPr="002D463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À vista do exposto, é possível evidenciar que os serviços a serem contratados são singulares, uma vez que é impossível de se estabelecer, a priori, critérios objetivos de comparação com outros serviços de treinamento oferecidos no mercado, o que, por sua vez, afasta a regra licitatória. Além disso, é possível concluir pela possibilidade de contratação por meio da inexigibilidade de licitação prevista no art. 74, III, “f”, da Lei nº 14.133/21.</w:t>
      </w:r>
      <w:r w:rsidRPr="00C65BD8">
        <w:rPr>
          <w:rFonts w:ascii="Times New Roman" w:hAnsi="Times New Roman" w:cs="Times New Roman"/>
        </w:rPr>
        <w:t xml:space="preserve"> </w:t>
      </w:r>
    </w:p>
    <w:p w14:paraId="6D1C98A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xml:space="preserve">3.3 - O objeto da contratação: </w:t>
      </w:r>
    </w:p>
    <w:p w14:paraId="7D19435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Está previsto no Plano de Contratações Anual de ___, conforme número de controle ___/____, do referido PCA. </w:t>
      </w:r>
    </w:p>
    <w:p w14:paraId="4D3A3B0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 está previsto no Plano de Contratações Anual de 202</w:t>
      </w:r>
      <w:r>
        <w:rPr>
          <w:rFonts w:ascii="Times New Roman" w:hAnsi="Times New Roman" w:cs="Times New Roman"/>
        </w:rPr>
        <w:t>5</w:t>
      </w:r>
      <w:r w:rsidRPr="00C65BD8">
        <w:rPr>
          <w:rFonts w:ascii="Times New Roman" w:hAnsi="Times New Roman" w:cs="Times New Roman"/>
        </w:rPr>
        <w:t xml:space="preserve">, sendo a nova demanda justificável pelas seguintes razões: Não tem como se prever em qual data terá um curso </w:t>
      </w:r>
      <w:proofErr w:type="spellStart"/>
      <w:r w:rsidRPr="00C65BD8">
        <w:rPr>
          <w:rFonts w:ascii="Times New Roman" w:hAnsi="Times New Roman" w:cs="Times New Roman"/>
        </w:rPr>
        <w:t>capacitante</w:t>
      </w:r>
      <w:proofErr w:type="spellEnd"/>
      <w:r w:rsidRPr="00C65BD8">
        <w:rPr>
          <w:rFonts w:ascii="Times New Roman" w:hAnsi="Times New Roman" w:cs="Times New Roman"/>
        </w:rPr>
        <w:t xml:space="preserve"> e que seja interessante para o servidor e para a Câmara Municipal. </w:t>
      </w:r>
    </w:p>
    <w:p w14:paraId="4DF63E59"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3.4 – A contratação fundamenta-se no artigo 74, inciso III, alínea “f” da Lei nº 14.133/21 e nas demais normas legais e regulamentares atinentes à matéria. </w:t>
      </w:r>
    </w:p>
    <w:p w14:paraId="7AC2C3E1" w14:textId="77777777" w:rsidR="00FF466B" w:rsidRPr="00C65BD8" w:rsidRDefault="00FF466B" w:rsidP="00FF466B">
      <w:pPr>
        <w:spacing w:before="120" w:after="120" w:line="360" w:lineRule="auto"/>
        <w:contextualSpacing/>
        <w:jc w:val="both"/>
        <w:rPr>
          <w:rFonts w:ascii="Times New Roman" w:hAnsi="Times New Roman" w:cs="Times New Roman"/>
        </w:rPr>
      </w:pPr>
    </w:p>
    <w:p w14:paraId="1CE18FFE"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 xml:space="preserve">4 - DESCRIÇÃO DA SOLUÇÃO COMO UM TODO </w:t>
      </w:r>
    </w:p>
    <w:p w14:paraId="145DC37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4.1 - O objeto da contratação compreende participação em curso de treinamento e aperfeiçoamento de servidor da Câmara Municipal. A referida contratação irá solucionar a demanda da Câmara Municipal, haja vista que as informações estão sempre em evolução, com novas medidas a serem feitas, cada vez com mais orientações atuais. Outro ponto é o aperfeiçoamento na prestação do serviço, corrigindo pequenos erros.  </w:t>
      </w:r>
    </w:p>
    <w:p w14:paraId="6C215F6F" w14:textId="77777777" w:rsidR="00FF466B"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4.2 - A descrição da solução como um todo encontra-se pormenorizada em tópico específico dos Estudos Técnicos Preliminares. </w:t>
      </w:r>
    </w:p>
    <w:p w14:paraId="57571B09" w14:textId="77777777" w:rsidR="00FF466B" w:rsidRPr="00EA576A" w:rsidRDefault="00FF466B" w:rsidP="00FF466B">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43B50FE5" w14:textId="77777777" w:rsidR="00FF466B" w:rsidRPr="00EA576A" w:rsidRDefault="00FF466B" w:rsidP="00FF466B">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p w14:paraId="142FA60D" w14:textId="77777777" w:rsidR="00FF466B" w:rsidRPr="00C65BD8" w:rsidRDefault="00FF466B" w:rsidP="00FF466B">
      <w:pPr>
        <w:spacing w:before="120" w:after="120" w:line="360" w:lineRule="auto"/>
        <w:contextualSpacing/>
        <w:jc w:val="both"/>
        <w:rPr>
          <w:rFonts w:ascii="Times New Roman" w:hAnsi="Times New Roman" w:cs="Times New Roman"/>
        </w:rPr>
      </w:pPr>
    </w:p>
    <w:p w14:paraId="0301FCBF"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5 – OBRIGAÇÕES E REQUISITOS DA CONTRATAÇÃO</w:t>
      </w:r>
    </w:p>
    <w:p w14:paraId="7E49CB7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5.1 – Obrigações da CONTRATADA:</w:t>
      </w:r>
    </w:p>
    <w:p w14:paraId="700F177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5.1.1 - </w:t>
      </w:r>
      <w:proofErr w:type="spellStart"/>
      <w:r w:rsidRPr="00C65BD8">
        <w:rPr>
          <w:rFonts w:ascii="Times New Roman" w:hAnsi="Times New Roman" w:cs="Times New Roman"/>
        </w:rPr>
        <w:t>Fornecer</w:t>
      </w:r>
      <w:proofErr w:type="spellEnd"/>
      <w:r w:rsidRPr="00C65BD8">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0E03A6B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 xml:space="preserve">5.1.2 - Substituir no prazo máximo e improrrogável de 02 (dois) dias úteis os serviços/materiais que não forem recebidos por não atenderem às especificações exigidas neste termo de referência. </w:t>
      </w:r>
    </w:p>
    <w:p w14:paraId="3D1F91C6"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5.1.3 - Fazer acompanhar quando da entrega dos serviços/materiais a respectiva nota fiscal/fatura, em conformidade com o solicitado no instrumento convocatório.</w:t>
      </w:r>
    </w:p>
    <w:p w14:paraId="7F2823DB"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5.1.4 - Pagar os tributos que incidam ou venham a incidir, direta ou indiretamente, sobre os serviços/produtos.</w:t>
      </w:r>
    </w:p>
    <w:p w14:paraId="41F47A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5B1E8A6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5.2 - Obrigações da CONTRATANTE:</w:t>
      </w:r>
    </w:p>
    <w:p w14:paraId="3DAFA8F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5.2.1 - Proceder a fiscalização do objeto da contratação em relação ao aspecto quantitativo e qualitativo a serem prestados pelo fornecedor.</w:t>
      </w:r>
    </w:p>
    <w:p w14:paraId="16F203FE"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5.2.2 - Comunicar o CONTRATANTE acerca de defeitos, falhas e/ou imperfeições verificadas. </w:t>
      </w:r>
    </w:p>
    <w:p w14:paraId="5D8FEF3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5.2.3 - Emitir a nota de empenho e efetuar pagamento ao(s) fornecedor(es) de acordo com a forma e prazo estabelecidos.</w:t>
      </w:r>
    </w:p>
    <w:p w14:paraId="75D8861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5.3 -    Condições específicas de execução e aceitação do objeto ou padrões mínimos de qualidade para o serviço/produto a ser contratado:</w:t>
      </w:r>
    </w:p>
    <w:p w14:paraId="0E9DF9C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5.4 - Possibilidade de subcontratação:</w:t>
      </w:r>
    </w:p>
    <w:p w14:paraId="5D8408DB"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Não.</w:t>
      </w:r>
    </w:p>
    <w:p w14:paraId="2D5490E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Sim. Neste caso, descrever o fundamento legal, estabelecer as condições e limites da subcontratação:</w:t>
      </w:r>
    </w:p>
    <w:p w14:paraId="2048A5F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5.5 - Haverá necessidade de exigência de garantia contratual para assegurar o adimplemento e fiel cumprimento das obrigações assumidas pela CONTRATADA?</w:t>
      </w:r>
    </w:p>
    <w:p w14:paraId="1E14EF92"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w:t>
      </w:r>
    </w:p>
    <w:p w14:paraId="243775E7"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Sim. Percentual da garantia e justificativa:</w:t>
      </w:r>
      <w:r w:rsidRPr="00C65BD8">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EB2EBC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5.7 - A não realização da visita não admitirá à CONTRATADA qualquer futura alegação de óbice, dificuldade ou custo não previsto para execução do objeto ou obrigação decorrente desta contratação;</w:t>
      </w:r>
    </w:p>
    <w:p w14:paraId="310CB28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5.8 - A vistoria, quando for o caso, deverá ser agendada com a Diretoria Administrativa da Câmara Municipal pelo telefone oficial do Órgão ou pelo e-mail contato@cmpatrocinio.mg.gov.br</w:t>
      </w:r>
    </w:p>
    <w:p w14:paraId="4F29882F" w14:textId="77777777" w:rsidR="00FF466B" w:rsidRPr="00C65BD8" w:rsidRDefault="00FF466B" w:rsidP="00FF466B">
      <w:pPr>
        <w:spacing w:before="120" w:after="120" w:line="360" w:lineRule="auto"/>
        <w:contextualSpacing/>
        <w:jc w:val="both"/>
        <w:rPr>
          <w:rFonts w:ascii="Times New Roman" w:hAnsi="Times New Roman" w:cs="Times New Roman"/>
        </w:rPr>
      </w:pPr>
    </w:p>
    <w:p w14:paraId="075A542F"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6 – DA EXECUÇÃO CONTRATUAL</w:t>
      </w:r>
    </w:p>
    <w:p w14:paraId="2F5C5223"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6.1 - O contrato deverá ser executado fielmente pelas partes, de acordo com as cláusulas avençadas e as normas da Lei nº 14.133, de 2021, e cada parte responderá pelas consequências de sua inexecução total ou parcial.</w:t>
      </w:r>
    </w:p>
    <w:p w14:paraId="03C7D200"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6.2 - As comunicações entre o órgão ou entidade e a CONTRATADA devem ser realizadas por escrito sempre que o ato exigir tal formalidade, admitindo-se o uso de mensagem eletrônica para esse fim.</w:t>
      </w:r>
    </w:p>
    <w:p w14:paraId="23CFEFD7"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6.3 - O CONTRATANTE poderá convocar representante da empresa para adoção de providências que devam ser cumpridas de imediato.</w:t>
      </w:r>
    </w:p>
    <w:p w14:paraId="7B30DA87"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6.4 - A formalização da contratação ocorrerá por meio de termo de contrato ou instrumento equivalente.</w:t>
      </w:r>
    </w:p>
    <w:p w14:paraId="1C3C5B91" w14:textId="70F2B691"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 xml:space="preserve">6.5 - A entrega dos materiais/prestação do serviço ocorrerá no seguinte prazo, a contar da </w:t>
      </w:r>
      <w:r w:rsidRPr="00DA2F8D">
        <w:rPr>
          <w:rFonts w:ascii="Times New Roman" w:hAnsi="Times New Roman" w:cs="Times New Roman"/>
          <w:color w:val="000000" w:themeColor="text1"/>
        </w:rPr>
        <w:t xml:space="preserve">emissão da Autorização de Fornecimento: </w:t>
      </w:r>
      <w:r w:rsidRPr="00C65BD8">
        <w:rPr>
          <w:rFonts w:ascii="Times New Roman" w:hAnsi="Times New Roman" w:cs="Times New Roman"/>
        </w:rPr>
        <w:t xml:space="preserve">Do dia </w:t>
      </w:r>
      <w:r w:rsidR="00B3317E">
        <w:rPr>
          <w:rFonts w:ascii="Times New Roman" w:hAnsi="Times New Roman" w:cs="Times New Roman"/>
        </w:rPr>
        <w:t>27</w:t>
      </w:r>
      <w:r w:rsidRPr="00C65BD8">
        <w:rPr>
          <w:rFonts w:ascii="Times New Roman" w:hAnsi="Times New Roman" w:cs="Times New Roman"/>
        </w:rPr>
        <w:t xml:space="preserve"> a </w:t>
      </w:r>
      <w:r w:rsidR="00B3317E">
        <w:rPr>
          <w:rFonts w:ascii="Times New Roman" w:hAnsi="Times New Roman" w:cs="Times New Roman"/>
        </w:rPr>
        <w:t>30</w:t>
      </w:r>
      <w:r w:rsidRPr="00C65BD8">
        <w:rPr>
          <w:rFonts w:ascii="Times New Roman" w:hAnsi="Times New Roman" w:cs="Times New Roman"/>
        </w:rPr>
        <w:t xml:space="preserve"> de </w:t>
      </w:r>
      <w:r w:rsidR="00B3317E">
        <w:rPr>
          <w:rFonts w:ascii="Times New Roman" w:hAnsi="Times New Roman" w:cs="Times New Roman"/>
        </w:rPr>
        <w:t>maio</w:t>
      </w:r>
      <w:r w:rsidRPr="00C65BD8">
        <w:rPr>
          <w:rFonts w:ascii="Times New Roman" w:hAnsi="Times New Roman" w:cs="Times New Roman"/>
        </w:rPr>
        <w:t xml:space="preserve"> de 202</w:t>
      </w:r>
      <w:r>
        <w:rPr>
          <w:rFonts w:ascii="Times New Roman" w:hAnsi="Times New Roman" w:cs="Times New Roman"/>
        </w:rPr>
        <w:t>5</w:t>
      </w:r>
      <w:r w:rsidRPr="00C65BD8">
        <w:rPr>
          <w:rFonts w:ascii="Times New Roman" w:hAnsi="Times New Roman" w:cs="Times New Roman"/>
        </w:rPr>
        <w:t>.</w:t>
      </w:r>
    </w:p>
    <w:p w14:paraId="52917A27"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6.6 - A entrega do material/prestação do serviço deverá ocorrer:</w:t>
      </w:r>
    </w:p>
    <w:p w14:paraId="32081804" w14:textId="77777777" w:rsidR="00FF466B" w:rsidRPr="00D86212" w:rsidRDefault="00FF466B" w:rsidP="00FF466B">
      <w:pPr>
        <w:spacing w:line="360" w:lineRule="auto"/>
        <w:jc w:val="both"/>
        <w:rPr>
          <w:rFonts w:ascii="Times New Roman" w:hAnsi="Times New Roman" w:cs="Times New Roman"/>
        </w:rPr>
      </w:pPr>
      <w:proofErr w:type="gramStart"/>
      <w:r w:rsidRPr="00D86212">
        <w:rPr>
          <w:rFonts w:ascii="Times New Roman" w:hAnsi="Times New Roman" w:cs="Times New Roman"/>
          <w:color w:val="0070C0"/>
        </w:rPr>
        <w:t xml:space="preserve">(  </w:t>
      </w:r>
      <w:proofErr w:type="gramEnd"/>
      <w:r w:rsidRPr="00D86212">
        <w:rPr>
          <w:rFonts w:ascii="Times New Roman" w:hAnsi="Times New Roman" w:cs="Times New Roman"/>
          <w:color w:val="0070C0"/>
        </w:rPr>
        <w:t xml:space="preserve"> )</w:t>
      </w:r>
      <w:r w:rsidRPr="00D86212">
        <w:rPr>
          <w:rFonts w:ascii="Times New Roman" w:hAnsi="Times New Roman" w:cs="Times New Roman"/>
        </w:rPr>
        <w:t xml:space="preserve"> Até o término da vigência contratual.</w:t>
      </w:r>
    </w:p>
    <w:p w14:paraId="7B8E0FDD" w14:textId="3988727D" w:rsidR="00FF466B" w:rsidRPr="00D86212" w:rsidRDefault="00FF466B" w:rsidP="00FF466B">
      <w:pPr>
        <w:spacing w:line="360" w:lineRule="auto"/>
        <w:jc w:val="both"/>
        <w:rPr>
          <w:rFonts w:ascii="Times New Roman" w:hAnsi="Times New Roman" w:cs="Times New Roman"/>
        </w:rPr>
      </w:pPr>
      <w:proofErr w:type="gramStart"/>
      <w:r w:rsidRPr="00D86212">
        <w:rPr>
          <w:rFonts w:ascii="Times New Roman" w:hAnsi="Times New Roman" w:cs="Times New Roman"/>
          <w:color w:val="0070C0"/>
        </w:rPr>
        <w:t xml:space="preserve">( </w:t>
      </w:r>
      <w:r>
        <w:rPr>
          <w:rFonts w:ascii="Times New Roman" w:hAnsi="Times New Roman" w:cs="Times New Roman"/>
          <w:color w:val="0070C0"/>
        </w:rPr>
        <w:t>X</w:t>
      </w:r>
      <w:proofErr w:type="gramEnd"/>
      <w:r w:rsidRPr="00D86212">
        <w:rPr>
          <w:rFonts w:ascii="Times New Roman" w:hAnsi="Times New Roman" w:cs="Times New Roman"/>
          <w:color w:val="0070C0"/>
        </w:rPr>
        <w:t xml:space="preserve"> )</w:t>
      </w:r>
      <w:r w:rsidRPr="00D86212">
        <w:rPr>
          <w:rFonts w:ascii="Times New Roman" w:hAnsi="Times New Roman" w:cs="Times New Roman"/>
        </w:rPr>
        <w:t xml:space="preserve"> No seguinte prazo, a contar do início da prestação:</w:t>
      </w:r>
      <w:r w:rsidRPr="00D86212">
        <w:rPr>
          <w:rFonts w:ascii="Times New Roman" w:hAnsi="Times New Roman" w:cs="Times New Roman"/>
          <w:color w:val="FF0000"/>
        </w:rPr>
        <w:t xml:space="preserve"> </w:t>
      </w:r>
      <w:r w:rsidR="00B3317E">
        <w:rPr>
          <w:rFonts w:ascii="Times New Roman" w:hAnsi="Times New Roman" w:cs="Times New Roman"/>
          <w:color w:val="0070C0"/>
        </w:rPr>
        <w:t>27</w:t>
      </w:r>
      <w:r>
        <w:rPr>
          <w:rFonts w:ascii="Times New Roman" w:hAnsi="Times New Roman" w:cs="Times New Roman"/>
          <w:color w:val="0070C0"/>
        </w:rPr>
        <w:t>/0</w:t>
      </w:r>
      <w:r w:rsidR="00B3317E">
        <w:rPr>
          <w:rFonts w:ascii="Times New Roman" w:hAnsi="Times New Roman" w:cs="Times New Roman"/>
          <w:color w:val="0070C0"/>
        </w:rPr>
        <w:t>5</w:t>
      </w:r>
      <w:r>
        <w:rPr>
          <w:rFonts w:ascii="Times New Roman" w:hAnsi="Times New Roman" w:cs="Times New Roman"/>
          <w:color w:val="0070C0"/>
        </w:rPr>
        <w:t>/2025</w:t>
      </w:r>
    </w:p>
    <w:p w14:paraId="14039D41" w14:textId="77777777" w:rsidR="00FF466B" w:rsidRPr="00C65BD8" w:rsidRDefault="00FF466B" w:rsidP="00FF466B">
      <w:pPr>
        <w:spacing w:before="120" w:after="120" w:line="360" w:lineRule="auto"/>
        <w:contextualSpacing/>
        <w:jc w:val="both"/>
        <w:rPr>
          <w:rFonts w:ascii="Times New Roman" w:hAnsi="Times New Roman" w:cs="Times New Roman"/>
        </w:rPr>
      </w:pPr>
      <w:r w:rsidRPr="00D86212">
        <w:rPr>
          <w:rFonts w:ascii="Times New Roman" w:hAnsi="Times New Roman" w:cs="Times New Roman"/>
          <w:color w:val="000000" w:themeColor="text1"/>
        </w:rPr>
        <w:t>6.7 - A entrega dos materiais/prestação do(s) serviço(s) pela CONTRATADA ocorrerá, sem quaisquer ônus adicionais para a Câmara, no seguinte endereço</w:t>
      </w:r>
      <w:r w:rsidRPr="00C65BD8">
        <w:rPr>
          <w:rFonts w:ascii="Times New Roman" w:hAnsi="Times New Roman" w:cs="Times New Roman"/>
        </w:rPr>
        <w:t xml:space="preserve">: </w:t>
      </w:r>
      <w:r w:rsidRPr="00EC36A5">
        <w:rPr>
          <w:rFonts w:ascii="Times New Roman" w:hAnsi="Times New Roman" w:cs="Times New Roman"/>
          <w:b/>
          <w:bCs/>
        </w:rPr>
        <w:t>Rua Joaquim Carlos dos Santos, 199 – Cidade Jardim. CEP 38747-056</w:t>
      </w:r>
      <w:r w:rsidRPr="00EC36A5">
        <w:rPr>
          <w:rFonts w:ascii="Times New Roman" w:hAnsi="Times New Roman" w:cs="Times New Roman"/>
        </w:rPr>
        <w:t>.</w:t>
      </w:r>
    </w:p>
    <w:p w14:paraId="69B485C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4D7D01DA"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7 – DO MODELO DE GESTÃO E FISCALIZAÇÃO DO CONTRATO</w:t>
      </w:r>
    </w:p>
    <w:p w14:paraId="4FBCEAE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7.1 - A gestão da contratação será atribuída a Diretoria Administrativa. </w:t>
      </w:r>
    </w:p>
    <w:p w14:paraId="1D8B75A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7.2 - Em razão da natureza do objeto a fiscalização:</w:t>
      </w:r>
    </w:p>
    <w:p w14:paraId="0A2E7A0B"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será exercida pelo próprio gestor.</w:t>
      </w:r>
    </w:p>
    <w:p w14:paraId="340CA5B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pelo seguinte servidor: _______.</w:t>
      </w:r>
    </w:p>
    <w:p w14:paraId="643DBC96"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lastRenderedPageBreak/>
        <w:t>(  )</w:t>
      </w:r>
      <w:proofErr w:type="gramEnd"/>
      <w:r w:rsidRPr="00C65BD8">
        <w:rPr>
          <w:rFonts w:ascii="Times New Roman" w:hAnsi="Times New Roman" w:cs="Times New Roman"/>
        </w:rPr>
        <w:t xml:space="preserve"> após a contratação, será designado pelo gestor servidor lotado em setor sob sua supervisão hierárquica.</w:t>
      </w:r>
    </w:p>
    <w:p w14:paraId="2F78AA4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será nomeada comissão em ato próprio pela diretoria ou autoridade equivalente, a qual competirá as seguintes funções: ____.</w:t>
      </w:r>
    </w:p>
    <w:p w14:paraId="4329FD5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7.3 - O modelo de gestão e fiscalização da contratação consiste na análise do cumprimento pela CONTRATADA das obrigações estipuladas na contratação.</w:t>
      </w:r>
    </w:p>
    <w:p w14:paraId="3CE9341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7.4 - A execução do contrato deverá ser acompanhada e fiscalizada pelo(s) fiscal(</w:t>
      </w:r>
      <w:proofErr w:type="spellStart"/>
      <w:r w:rsidRPr="00C65BD8">
        <w:rPr>
          <w:rFonts w:ascii="Times New Roman" w:hAnsi="Times New Roman" w:cs="Times New Roman"/>
        </w:rPr>
        <w:t>is</w:t>
      </w:r>
      <w:proofErr w:type="spellEnd"/>
      <w:r w:rsidRPr="00C65BD8">
        <w:rPr>
          <w:rFonts w:ascii="Times New Roman" w:hAnsi="Times New Roman" w:cs="Times New Roman"/>
        </w:rPr>
        <w:t>) do contrato, ou pelos respectivos substitutos (Lei nº 14.133, de 2021, art. 117, caput).</w:t>
      </w:r>
    </w:p>
    <w:p w14:paraId="597F703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09014B2C"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1AD9241"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AD0951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3EF4662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0FFB4FE" w14:textId="77777777" w:rsidR="00FF466B" w:rsidRPr="00C65BD8" w:rsidRDefault="00FF466B" w:rsidP="00FF466B">
      <w:pPr>
        <w:spacing w:before="120" w:after="120" w:line="360" w:lineRule="auto"/>
        <w:contextualSpacing/>
        <w:jc w:val="both"/>
        <w:rPr>
          <w:rFonts w:ascii="Times New Roman" w:hAnsi="Times New Roman" w:cs="Times New Roman"/>
        </w:rPr>
      </w:pPr>
    </w:p>
    <w:p w14:paraId="2CCF5169"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2872FA8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E017DD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A45331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4BC5C39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7CEE11C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7.9 - A CONTRATADA deverá manter preposto para representá-la na execução do contrato.</w:t>
      </w:r>
    </w:p>
    <w:p w14:paraId="542E1FBE"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0884AB72" w14:textId="77777777" w:rsidR="00FF466B" w:rsidRPr="00C65BD8" w:rsidRDefault="00FF466B" w:rsidP="00FF466B">
      <w:pPr>
        <w:spacing w:before="120" w:after="120" w:line="360" w:lineRule="auto"/>
        <w:contextualSpacing/>
        <w:jc w:val="both"/>
        <w:rPr>
          <w:rFonts w:ascii="Times New Roman" w:hAnsi="Times New Roman" w:cs="Times New Roman"/>
        </w:rPr>
      </w:pPr>
    </w:p>
    <w:p w14:paraId="64B1EBB6"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8 – DOS CRITÉRIOS DE MEDIÇÃO E PAGAMENTO</w:t>
      </w:r>
    </w:p>
    <w:p w14:paraId="18AC80E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CDA0B5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43F0DD6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8.3 - O recebimento provisório será realizado pelo servidor responsável pela fiscalização do contrato, por meio de termo, no prazo de 5 (cinco) dias. </w:t>
      </w:r>
    </w:p>
    <w:p w14:paraId="0A6A43A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29B2675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8.4 - Será procedido o recebimento definitivo, pelo gestor do contrato, por meio de termo detalhado, no prazo de 5 (cinco) dias. </w:t>
      </w:r>
    </w:p>
    <w:p w14:paraId="3C32356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D37022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725BC28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4541AB6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8.7 - O faturamento será realizado:</w:t>
      </w:r>
    </w:p>
    <w:p w14:paraId="03594E7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Ao final da execução do serviço ou entrega do material.</w:t>
      </w:r>
    </w:p>
    <w:p w14:paraId="1424AA2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Por evento.</w:t>
      </w:r>
    </w:p>
    <w:p w14:paraId="5D9FD84E"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Mensalmente.</w:t>
      </w:r>
    </w:p>
    <w:p w14:paraId="583A0F2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Da seguinte forma: ______. </w:t>
      </w:r>
    </w:p>
    <w:p w14:paraId="466393A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8.7.1 - Após comunicação do gestor do contrato e no prazo de 5 (cinco) dias,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75240A4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8.7.2 - A Nota Fiscal deve corresponder ao objeto recebido e respectivos valores e quantitativos apurados pela fiscalização.</w:t>
      </w:r>
    </w:p>
    <w:p w14:paraId="02ABA19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8.7.3 - No caso de divergência, especialmente quando houver adimplemento parcial, o CONTRATANTE notificará a CONTRATADA a sanar o problema no prazo de, com suspensão do prazo de pagamento.</w:t>
      </w:r>
    </w:p>
    <w:p w14:paraId="0D61BB5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95D1B5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8.7.5 - Quando do pagamento da fatura ou nota fiscal será efetuada a retenção dos valores correspondentes a tributos e contribuições sociais, nos termos legais.</w:t>
      </w:r>
    </w:p>
    <w:p w14:paraId="03EF2A4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8.8 - A CONTRATANTE terá o prazo de 10 (dez) dias, após o recebimento definitivo, para efetuar o pagamento por meio de Ordem Bancária, creditada na conta corrente da CONTRATADA.</w:t>
      </w:r>
    </w:p>
    <w:p w14:paraId="0934E27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8.9 - A CONTRATANTE reserva-se no direito de recusar o pagamento se, no ato do atesto, o serviço ou entrega não estiver de acordo com as especificações apresentadas.</w:t>
      </w:r>
    </w:p>
    <w:p w14:paraId="4CDFF94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8.10 - A Nota Fiscal deverá ser emitida no nome da CONTRATANTE.</w:t>
      </w:r>
    </w:p>
    <w:p w14:paraId="476B8FD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0479B33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4BDC76A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8.13 - Para efeito de pagamento, considerar-se-á </w:t>
      </w:r>
      <w:proofErr w:type="spellStart"/>
      <w:r w:rsidRPr="00C65BD8">
        <w:rPr>
          <w:rFonts w:ascii="Times New Roman" w:hAnsi="Times New Roman" w:cs="Times New Roman"/>
        </w:rPr>
        <w:t>paga</w:t>
      </w:r>
      <w:proofErr w:type="spellEnd"/>
      <w:r w:rsidRPr="00C65BD8">
        <w:rPr>
          <w:rFonts w:ascii="Times New Roman" w:hAnsi="Times New Roman" w:cs="Times New Roman"/>
        </w:rPr>
        <w:t xml:space="preserve"> a fatura na data da emissão da Ordem Bancária.</w:t>
      </w:r>
    </w:p>
    <w:p w14:paraId="63C1D22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8.14 - O reajuste do contrato terá como referência:</w:t>
      </w:r>
    </w:p>
    <w:p w14:paraId="1DA8971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 se aplica, por ser entrega ou prestação de serviço imediata. </w:t>
      </w:r>
    </w:p>
    <w:p w14:paraId="67B9DEB1"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A variação acumulada do IPCA no período, observado o interstício mínimo de 1 (um) ano, contado a partir da data do orçamento estimado.</w:t>
      </w:r>
    </w:p>
    <w:p w14:paraId="60A11E1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Índice setorial específico, que será: </w:t>
      </w:r>
      <w:proofErr w:type="spellStart"/>
      <w:r w:rsidRPr="00C65BD8">
        <w:rPr>
          <w:rFonts w:ascii="Times New Roman" w:hAnsi="Times New Roman" w:cs="Times New Roman"/>
        </w:rPr>
        <w:t>xxx</w:t>
      </w:r>
      <w:proofErr w:type="spellEnd"/>
      <w:r w:rsidRPr="00C65BD8">
        <w:rPr>
          <w:rFonts w:ascii="Times New Roman" w:hAnsi="Times New Roman" w:cs="Times New Roman"/>
        </w:rPr>
        <w:t>, observado o interstício mínimo de 1 (um) ano, contado a partir da data limite para apresentação da respectiva proposta comercial ou do último reajuste.</w:t>
      </w:r>
    </w:p>
    <w:p w14:paraId="200D3B5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8.15 - O prazo de garantia contratual dos serviços/produtos é aquele estabelecido na Lei nº 8.078, de 11 de setembro de 1990 (Código de Defesa do Consumidor).</w:t>
      </w:r>
    </w:p>
    <w:p w14:paraId="36AB502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652EBB30"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9 - CRITÉRIO DE JULGAMENTO, AVALIAÇÃO DAS PROPOSTAS, HABILITAÇÃO E SELEÇÃO DO FORNECEDOR</w:t>
      </w:r>
    </w:p>
    <w:p w14:paraId="4CD0042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9.1 - O fornecedor será selecionado por meio da realização de:</w:t>
      </w:r>
    </w:p>
    <w:p w14:paraId="633CB66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Procedimento de contratação direta, por dispensa de licitação (art. 75, __, da Lei nº 14.133/21);</w:t>
      </w:r>
    </w:p>
    <w:p w14:paraId="2B2E133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Procedimento de contratação direta, por inexigibilidade de licitação (art. 74, inciso III, alínea “f”, da Lei nº 14.133/21);</w:t>
      </w:r>
    </w:p>
    <w:p w14:paraId="21A2F1C1"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Pregão;</w:t>
      </w:r>
    </w:p>
    <w:p w14:paraId="0321406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Concorrência;</w:t>
      </w:r>
    </w:p>
    <w:p w14:paraId="2DAF4C6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Concurso;</w:t>
      </w:r>
    </w:p>
    <w:p w14:paraId="39123D92"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Leilão.</w:t>
      </w:r>
    </w:p>
    <w:p w14:paraId="0BD0DF1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9.2 - Será considerada vencedora a proposta contendo:</w:t>
      </w:r>
    </w:p>
    <w:p w14:paraId="670B08AF"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O menor preço global. Justificar: _____.</w:t>
      </w:r>
    </w:p>
    <w:p w14:paraId="2D591C88"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O menor preço por item.</w:t>
      </w:r>
    </w:p>
    <w:p w14:paraId="4EA86A0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desconto.</w:t>
      </w:r>
    </w:p>
    <w:p w14:paraId="2DF808C6"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Melhor Técnica.</w:t>
      </w:r>
    </w:p>
    <w:p w14:paraId="1F756E4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Técnica e Preço.</w:t>
      </w:r>
    </w:p>
    <w:p w14:paraId="77150F5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retorno econômico.</w:t>
      </w:r>
    </w:p>
    <w:p w14:paraId="7DFA12C8"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lance. </w:t>
      </w:r>
    </w:p>
    <w:p w14:paraId="7DAF79D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4FE31330"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 – Constituem documentos de habilitação: </w:t>
      </w:r>
    </w:p>
    <w:p w14:paraId="5563F4AC"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9.4.1 – Habilitação Jurídica (art. 66, da Lei n. 14.133/21):</w:t>
      </w:r>
    </w:p>
    <w:p w14:paraId="76AE5B53"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9.4.1.1 - Cadastro Nacional da Pessoa Jurídica; </w:t>
      </w:r>
    </w:p>
    <w:p w14:paraId="19F26E20"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9.4.1.2 - No caso de empresário individual, inscrição no Registro Público de Empresas Mercantis, a cargo da Junta Comercial da respectiva sede;</w:t>
      </w:r>
    </w:p>
    <w:p w14:paraId="0477758E"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lastRenderedPageBreak/>
        <w:t xml:space="preserve">9.4.1.3 - Em se tratando de Microempreendedor Individual – MEI: Certificado da Condição de Microempreendedor Individual - CCMEI, cuja aceitação ficará condicionada à verificação da autenticidade no sítio </w:t>
      </w:r>
      <w:hyperlink r:id="rId7" w:history="1">
        <w:r w:rsidRPr="008620AA">
          <w:rPr>
            <w:rStyle w:val="Hyperlink"/>
            <w:rFonts w:ascii="Times New Roman" w:hAnsi="Times New Roman" w:cs="Times New Roman"/>
          </w:rPr>
          <w:t>www.portaldoempreendedor.gov.br</w:t>
        </w:r>
      </w:hyperlink>
      <w:r w:rsidRPr="008620AA">
        <w:rPr>
          <w:rFonts w:ascii="Times New Roman" w:hAnsi="Times New Roman" w:cs="Times New Roman"/>
        </w:rPr>
        <w:t>;</w:t>
      </w:r>
    </w:p>
    <w:p w14:paraId="75E5775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9.4.1.4 -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F202BA1"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9.4.1.5 - Inscrição no Registro Público de Empresas Mercantis onde opera, com averbação no Registro onde tem sede a matriz, no caso de ser o participante sucursal, filial ou agência;</w:t>
      </w:r>
    </w:p>
    <w:p w14:paraId="1036B66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9.4.1.6 - No caso de sociedade simples: inscrição do ato constitutivo no Registro Civil das Pessoas Jurídicas do local de sua sede, acompanhada de prova da indicação dos seus administradores;</w:t>
      </w:r>
    </w:p>
    <w:p w14:paraId="1E004B16"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9.4.1.7 – Quando for o caso, Declaração, sob as penas da lei, de que cumpre os requisitos legais para a qualificação como microempresa ou empresa de pequeno porte, microempreendedor individual, produtor rural pessoa física, agricultor familiar ou sociedade cooperativa, o que o tornará apto a usufruir do tratamento favorecido estabelecido nos </w:t>
      </w:r>
      <w:hyperlink r:id="rId8" w:anchor="art42" w:history="1">
        <w:r w:rsidRPr="008620AA">
          <w:rPr>
            <w:rStyle w:val="Hyperlink"/>
            <w:rFonts w:ascii="Times New Roman" w:hAnsi="Times New Roman" w:cs="Times New Roman"/>
          </w:rPr>
          <w:t>art. 42 ao art. 49 da Lei Complementar nº 123, de 2006, nos termos do</w:t>
        </w:r>
        <w:r w:rsidRPr="008620AA">
          <w:rPr>
            <w:rStyle w:val="Hyperlink"/>
            <w:rFonts w:ascii="Times New Roman" w:hAnsi="Times New Roman" w:cs="Times New Roman"/>
            <w:bCs/>
          </w:rPr>
          <w:t xml:space="preserve"> art. 47, Parágrafo Único c/c</w:t>
        </w:r>
        <w:r w:rsidRPr="008620AA">
          <w:rPr>
            <w:rStyle w:val="Hyperlink"/>
            <w:rFonts w:ascii="Times New Roman" w:hAnsi="Times New Roman" w:cs="Times New Roman"/>
          </w:rPr>
          <w:t xml:space="preserve">  art. 13, §2º, do </w:t>
        </w:r>
        <w:r w:rsidRPr="008620AA">
          <w:rPr>
            <w:rStyle w:val="Hyperlink"/>
            <w:rFonts w:ascii="Times New Roman" w:hAnsi="Times New Roman" w:cs="Times New Roman"/>
            <w:bCs/>
          </w:rPr>
          <w:t>Decreto Federal nº 8.538/2015, OU Certidão Simplificada expedida pela Junta Comercial</w:t>
        </w:r>
        <w:r w:rsidRPr="008620AA">
          <w:rPr>
            <w:rStyle w:val="Hyperlink"/>
            <w:rFonts w:ascii="Times New Roman" w:hAnsi="Times New Roman" w:cs="Times New Roman"/>
          </w:rPr>
          <w:t>.</w:t>
        </w:r>
      </w:hyperlink>
    </w:p>
    <w:p w14:paraId="0C4D5147"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9.4.2 – Habilitação Técnica: </w:t>
      </w:r>
    </w:p>
    <w:p w14:paraId="0D33D2CF"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9.4.2.1 - Declaração de que o licitante tomou conhecimento de todas as informações e das condições locais para o cumprimento das obrigações objeto da licitação (art. 67, VI, da Lei n. 14.133/21).</w:t>
      </w:r>
    </w:p>
    <w:p w14:paraId="182B03A7"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9.4.3 – Habilitação Fiscal, Social e Trabalhista (art. 68, da Lei n. 14.133/21): </w:t>
      </w:r>
    </w:p>
    <w:p w14:paraId="4537D6D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9.4.3.1 - Inscrição no Cadastro de Pessoas Físicas (CPF) ou no Cadastro Nacional da Pessoa Jurídica (CNPJ); </w:t>
      </w:r>
    </w:p>
    <w:p w14:paraId="0A39C04A"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9.4.3.2 - Inscrição no cadastro de contribuintes estadual e/ou municipal, se houver, relativo ao domicílio ou sede do licitante, pertinente ao seu ramo de atividade e compatível com o objeto contratual; </w:t>
      </w:r>
    </w:p>
    <w:p w14:paraId="6492839D"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9.4.3.3 - Regularidade perante a Fazenda federal, estadual e/ou municipal do domicílio ou sede do licitante, ou outra equivalente, na forma da lei; </w:t>
      </w:r>
    </w:p>
    <w:p w14:paraId="63D008BB"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lastRenderedPageBreak/>
        <w:t xml:space="preserve">9.4.3.4 - Regularidade relativa à Seguridade Social e ao FGTS; </w:t>
      </w:r>
    </w:p>
    <w:p w14:paraId="3EEBE0F3"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9.4.3.5 - Regularidade trabalhista; </w:t>
      </w:r>
    </w:p>
    <w:p w14:paraId="7A219D25"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9.4.3.6 - Declaração de que não emprega menor em trabalho perigoso, insalubre ou noturno; </w:t>
      </w:r>
    </w:p>
    <w:p w14:paraId="76969098"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9.4.3.7 - Declaração de que cumpre as exigências de reserva de cargos para pessoa com deficiência e para reabilitado da Previdência Social (art. 63, IV, da Lei n. 14.133/21); </w:t>
      </w:r>
    </w:p>
    <w:p w14:paraId="093616AD"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9.4.3.8 -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 14.133/21). </w:t>
      </w:r>
    </w:p>
    <w:p w14:paraId="7B109D45"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9.4.4 – Habilitação Econômico-Financeira (art. 69, da Lei n. 14.133/21): </w:t>
      </w:r>
    </w:p>
    <w:p w14:paraId="476E69A2"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9.4.4.1 - Balanço patrimonial, demonstração de resultado de exercício e demais demonstrações contábeis dos 2 (dois) últimos exercícios sociais, observado o disposto nos artigos 65 §1º e 69, §6º, da lei nº 14.133/21; </w:t>
      </w:r>
    </w:p>
    <w:p w14:paraId="71D75892"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9.4.4.2 - Declaração, assinada por profissional habilitado na área contábil, que ateste o atendimento pelo licitante dos índices econômicos previsto no edital; </w:t>
      </w:r>
    </w:p>
    <w:p w14:paraId="6D6DC861"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9.4.4.3 - Certidão negativa de feitos sobre falência expedida pelo distribuidor da sede do licitante. </w:t>
      </w:r>
    </w:p>
    <w:p w14:paraId="27AD2E72"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9.5 </w:t>
      </w:r>
      <w:proofErr w:type="gramStart"/>
      <w:r w:rsidRPr="008620AA">
        <w:rPr>
          <w:rFonts w:ascii="Times New Roman" w:hAnsi="Times New Roman" w:cs="Times New Roman"/>
          <w:color w:val="000000" w:themeColor="text1"/>
        </w:rPr>
        <w:t>-  Serão</w:t>
      </w:r>
      <w:proofErr w:type="gramEnd"/>
      <w:r w:rsidRPr="008620AA">
        <w:rPr>
          <w:rFonts w:ascii="Times New Roman" w:hAnsi="Times New Roman" w:cs="Times New Roman"/>
          <w:color w:val="000000" w:themeColor="text1"/>
        </w:rPr>
        <w:t xml:space="preserve"> exigidos os seguintes documentos adicionais de habilitação:</w:t>
      </w:r>
    </w:p>
    <w:p w14:paraId="39DB92F9"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Nenhum.</w:t>
      </w:r>
    </w:p>
    <w:p w14:paraId="37A21FD7"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Certidão ou atestado que demonstre que o interessado tenha executado serviços similares.</w:t>
      </w:r>
    </w:p>
    <w:p w14:paraId="61AC5C96"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Apresentação de profissional, devidamente registrado no conselho profissional competente, detentor de atestado de responsabilidade técnica por execução de obra ou serviço de características semelhantes.</w:t>
      </w:r>
    </w:p>
    <w:p w14:paraId="2C68CC65"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Certidões ou atestados, regularmente emitidos pelo conselho profissional competente, quando for o caso, que demonstrem capacidade operacional na execução de serviços similares de complexidade tecnológica e operacional equivalente ou superior.</w:t>
      </w:r>
    </w:p>
    <w:p w14:paraId="4B7619BB"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Indicação do pessoal técnico, das instalações e do aparelhamento adequados e disponíveis para a realização do objeto da licitação, bem como da qualificação de cada membro da equipe técnica que se responsabilizará pelos trabalhos.</w:t>
      </w:r>
    </w:p>
    <w:p w14:paraId="0CC5E903"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lastRenderedPageBreak/>
        <w:t>(  )</w:t>
      </w:r>
      <w:proofErr w:type="gramEnd"/>
      <w:r w:rsidRPr="008620AA">
        <w:rPr>
          <w:rFonts w:ascii="Times New Roman" w:hAnsi="Times New Roman" w:cs="Times New Roman"/>
          <w:color w:val="000000" w:themeColor="text1"/>
        </w:rPr>
        <w:t xml:space="preserve"> registro ou inscrição na entidade profissional competente.</w:t>
      </w:r>
    </w:p>
    <w:p w14:paraId="1F88D5E8"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X</w:t>
      </w:r>
      <w:proofErr w:type="gramEnd"/>
      <w:r w:rsidRPr="008620AA">
        <w:rPr>
          <w:rFonts w:ascii="Times New Roman" w:hAnsi="Times New Roman" w:cs="Times New Roman"/>
          <w:color w:val="000000" w:themeColor="text1"/>
        </w:rPr>
        <w:t xml:space="preserve"> ) Atestado de capacidade técnica.</w:t>
      </w:r>
    </w:p>
    <w:p w14:paraId="5F82F980"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Declaração de disponibilidade de pessoal.</w:t>
      </w:r>
    </w:p>
    <w:p w14:paraId="3EAA83A2"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Declaração de disponibilidade de equipamentos.</w:t>
      </w:r>
    </w:p>
    <w:p w14:paraId="2E88B96A"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Registro de profissional.</w:t>
      </w:r>
    </w:p>
    <w:p w14:paraId="4E3DEFFF"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Registro de empresa.</w:t>
      </w:r>
    </w:p>
    <w:p w14:paraId="392CF755"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Outro(s):</w:t>
      </w:r>
    </w:p>
    <w:p w14:paraId="0D194EB9"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para o documento adicional: </w:t>
      </w:r>
      <w:r>
        <w:rPr>
          <w:rFonts w:ascii="Times New Roman" w:hAnsi="Times New Roman" w:cs="Times New Roman"/>
          <w:color w:val="000000" w:themeColor="text1"/>
        </w:rPr>
        <w:t>Para confirmar que a empresa está apta e tem condições de realizar o referido curso.</w:t>
      </w:r>
      <w:r w:rsidRPr="008620AA">
        <w:rPr>
          <w:rFonts w:ascii="Times New Roman" w:hAnsi="Times New Roman" w:cs="Times New Roman"/>
          <w:color w:val="000000" w:themeColor="text1"/>
        </w:rPr>
        <w:t xml:space="preserve"> </w:t>
      </w:r>
    </w:p>
    <w:p w14:paraId="1EEDD6B1"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9.6 – A contratação é enquadrada no art. 70, III, da lei nº 14.133/21 (possibilidade de dispensa de documentos):</w:t>
      </w:r>
    </w:p>
    <w:p w14:paraId="255202B8"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Sim, tratando-se de contratação com entrega imediata.</w:t>
      </w:r>
    </w:p>
    <w:p w14:paraId="563F0C15"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X</w:t>
      </w:r>
      <w:proofErr w:type="gramEnd"/>
      <w:r w:rsidRPr="008620AA">
        <w:rPr>
          <w:rFonts w:ascii="Times New Roman" w:hAnsi="Times New Roman" w:cs="Times New Roman"/>
          <w:color w:val="000000" w:themeColor="text1"/>
        </w:rPr>
        <w:t xml:space="preserve"> ) Sim, tratando-se de contratação com valor estimado inferior a ¼ (um quarto) do limite para dispensa de licitação para compras em geral.</w:t>
      </w:r>
    </w:p>
    <w:p w14:paraId="4BBF6728"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Não.</w:t>
      </w:r>
    </w:p>
    <w:p w14:paraId="08E54818"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9.6.1 – Tratando-se de contratação com previsão no art. 70, III, da Lei nº 14.133/21, a fase de habilitação da presente contratação exigirá: </w:t>
      </w:r>
    </w:p>
    <w:p w14:paraId="5F0B7D09"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Todos os documentos indicados pelos itens “9.4” e “9.5” do presente termo de referência.</w:t>
      </w:r>
    </w:p>
    <w:p w14:paraId="56C8A493"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 X ) Os seguintes documentos: </w:t>
      </w:r>
      <w:bookmarkStart w:id="0" w:name="_Hlk183704810"/>
      <w:r w:rsidRPr="008620AA">
        <w:rPr>
          <w:rFonts w:ascii="Times New Roman" w:hAnsi="Times New Roman" w:cs="Times New Roman"/>
          <w:color w:val="000000" w:themeColor="text1"/>
        </w:rPr>
        <w:t xml:space="preserve">Cadastro Nacional da Pessoa Jurídica; Contrato Social ou documento equivalente; Certidão de Regularidade perante a Fazenda Federal; Certidão de Regularidade perante a Fazenda Estadual; Certidão de Regularidade relativa ao FGTS; Certidão de Regularidade Trabalhista; Resultado da consulta junto ao Cadastro Nacional de Empresas Inidôneas e Suspensas – CEIS e; Resultado da consulta junto ao Cadastro Nacional de Condenações Cíveis por Atos de Improbidade Administrativa. </w:t>
      </w:r>
    </w:p>
    <w:p w14:paraId="6A5E813A"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Por se tratar de procedimento de natureza mais simplificada, nos termos do art. 70, III, da lei n. 14.133/21, será exigida apenas a documentação básica referente à regularidade jurídica e fiscal da empresa a ser contratada. </w:t>
      </w:r>
      <w:bookmarkEnd w:id="0"/>
    </w:p>
    <w:p w14:paraId="46908881" w14:textId="77777777" w:rsidR="00FF466B"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Não se aplica.</w:t>
      </w:r>
    </w:p>
    <w:p w14:paraId="31D18F10"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9.</w:t>
      </w:r>
      <w:r>
        <w:rPr>
          <w:rFonts w:ascii="Times New Roman" w:hAnsi="Times New Roman" w:cs="Times New Roman"/>
        </w:rPr>
        <w:t>7</w:t>
      </w:r>
      <w:r w:rsidRPr="00D86212">
        <w:rPr>
          <w:rFonts w:ascii="Times New Roman" w:hAnsi="Times New Roman" w:cs="Times New Roman"/>
        </w:rPr>
        <w:t xml:space="preserve"> - A Administração Pública, visando o prestígio à celeridade, fica autorizada a realizar consultas por meio da rede mundial de computadores dos documentos disponibilizados de maneira online. </w:t>
      </w:r>
    </w:p>
    <w:p w14:paraId="4F6A1641"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3E4935B"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10 - DA ESTIMATIVA DA CONTRATAÇÃO E DAS PROPOSTAS</w:t>
      </w:r>
    </w:p>
    <w:p w14:paraId="62F5D86F" w14:textId="430886C3" w:rsidR="00FF466B" w:rsidRPr="00C65BD8" w:rsidRDefault="00FF466B" w:rsidP="00FF466B">
      <w:pPr>
        <w:spacing w:before="120" w:after="120" w:line="360" w:lineRule="auto"/>
        <w:contextualSpacing/>
        <w:jc w:val="both"/>
        <w:rPr>
          <w:rFonts w:ascii="Times New Roman" w:hAnsi="Times New Roman" w:cs="Times New Roman"/>
        </w:rPr>
      </w:pPr>
      <w:bookmarkStart w:id="1" w:name="_Hlk154305960"/>
      <w:r w:rsidRPr="00C65BD8">
        <w:rPr>
          <w:rFonts w:ascii="Times New Roman" w:hAnsi="Times New Roman" w:cs="Times New Roman"/>
        </w:rPr>
        <w:t xml:space="preserve">10.1 - O valor estimado da contratação perfaz a monta </w:t>
      </w:r>
      <w:r w:rsidR="00B3317E" w:rsidRPr="005041EB">
        <w:rPr>
          <w:rFonts w:ascii="Times New Roman" w:hAnsi="Times New Roman" w:cs="Times New Roman"/>
          <w:bCs/>
        </w:rPr>
        <w:t>de R$ 990,00 (novecentos e noventa reais).</w:t>
      </w:r>
    </w:p>
    <w:bookmarkEnd w:id="1"/>
    <w:p w14:paraId="0C7CF40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10.2 - O valor estimado da contratação foi alcançado a partir da pesquisa de mercado com as seguintes fontes: </w:t>
      </w:r>
    </w:p>
    <w:p w14:paraId="30AA0131"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w:t>
      </w:r>
      <w:proofErr w:type="gramStart"/>
      <w:r w:rsidRPr="00C65BD8">
        <w:rPr>
          <w:rFonts w:ascii="Times New Roman" w:hAnsi="Times New Roman" w:cs="Times New Roman"/>
        </w:rPr>
        <w:t>)  Composição</w:t>
      </w:r>
      <w:proofErr w:type="gramEnd"/>
      <w:r w:rsidRPr="00C65BD8">
        <w:rPr>
          <w:rFonts w:ascii="Times New Roman" w:hAnsi="Times New Roman" w:cs="Times New Roman"/>
        </w:rPr>
        <w:t xml:space="preserve"> de custos unitários menores ou iguais à mediana do item correspondente nos sistemas oficiais de governo, como Painel de Preços.</w:t>
      </w:r>
    </w:p>
    <w:p w14:paraId="04FC701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364300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14:paraId="1592DC4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 </w:t>
      </w:r>
      <w:proofErr w:type="gramStart"/>
      <w:r w:rsidRPr="00C65BD8">
        <w:rPr>
          <w:rFonts w:ascii="Times New Roman" w:hAnsi="Times New Roman" w:cs="Times New Roman"/>
        </w:rPr>
        <w:t>a temática e a oferta do curso nesta data atendia</w:t>
      </w:r>
      <w:proofErr w:type="gramEnd"/>
      <w:r w:rsidRPr="00C65BD8">
        <w:rPr>
          <w:rFonts w:ascii="Times New Roman" w:hAnsi="Times New Roman" w:cs="Times New Roman"/>
        </w:rPr>
        <w:t xml:space="preserve"> a solicitação do Servidor.  </w:t>
      </w:r>
    </w:p>
    <w:p w14:paraId="3E18521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Pesquisa na base nacional de notas fiscais eletrônicas, desde que a data das notas fiscais esteja compreendida no período de até 1 (um) ano anterior à data de divulgação do edital.</w:t>
      </w:r>
    </w:p>
    <w:p w14:paraId="4611800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10.2.1 - Justificativa para não utilização dos dois primeiros métodos: Conforme artigo 23, § 4º da lei federal 14.133/21, nas contratações por inexigibilidade, quando não for possível estimar o valor do objeto, para aferição do valor a ser pago, poderá ser feito através de Notas Fiscais emitidas para outros contratantes. </w:t>
      </w:r>
    </w:p>
    <w:p w14:paraId="2869D102" w14:textId="77777777" w:rsidR="00FF466B" w:rsidRPr="00C65BD8" w:rsidRDefault="00FF466B" w:rsidP="00FF466B">
      <w:pPr>
        <w:spacing w:before="120" w:after="120" w:line="360" w:lineRule="auto"/>
        <w:contextualSpacing/>
        <w:jc w:val="both"/>
        <w:rPr>
          <w:rFonts w:ascii="Times New Roman" w:hAnsi="Times New Roman" w:cs="Times New Roman"/>
        </w:rPr>
      </w:pPr>
      <w:bookmarkStart w:id="2" w:name="_Hlk154305983"/>
      <w:r w:rsidRPr="00C65BD8">
        <w:rPr>
          <w:rFonts w:ascii="Times New Roman" w:hAnsi="Times New Roman" w:cs="Times New Roman"/>
        </w:rPr>
        <w:t>10.3 - Para alcançar o valor estimado da contratação foi utilizado o método estatístico:</w:t>
      </w:r>
    </w:p>
    <w:p w14:paraId="7E83F73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Média dos valores apurados na pesquisa de mercado.</w:t>
      </w:r>
    </w:p>
    <w:p w14:paraId="27B0E43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Mediana dos valores apurados na pesquisa de mercado.</w:t>
      </w:r>
    </w:p>
    <w:p w14:paraId="48309C0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Menor valor apurado na pesquisa de mercado.  </w:t>
      </w:r>
    </w:p>
    <w:bookmarkEnd w:id="2"/>
    <w:p w14:paraId="0BDF78C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17299D99"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28FC39C"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 xml:space="preserve">11 - DA INDICAÇÃO ORÇAMENTÁRIA </w:t>
      </w:r>
    </w:p>
    <w:p w14:paraId="5050070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292A325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01.01.01.00.01.031.0001.00.2001.3.3.90.39.34.1500 – Serviço de seleção e treinamento  </w:t>
      </w:r>
    </w:p>
    <w:p w14:paraId="52DB1B09" w14:textId="77777777" w:rsidR="00FF466B" w:rsidRPr="00C65BD8" w:rsidRDefault="00FF466B" w:rsidP="00FF466B">
      <w:pPr>
        <w:spacing w:before="120" w:after="120" w:line="360" w:lineRule="auto"/>
        <w:contextualSpacing/>
        <w:jc w:val="both"/>
        <w:rPr>
          <w:rFonts w:ascii="Times New Roman" w:hAnsi="Times New Roman" w:cs="Times New Roman"/>
          <w:b/>
          <w:bCs/>
        </w:rPr>
      </w:pPr>
    </w:p>
    <w:p w14:paraId="3AA90EC6"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12 - FORMALIZAÇÃO DA CONTRATAÇÃO</w:t>
      </w:r>
    </w:p>
    <w:p w14:paraId="02A887F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12.1 - A presente contratação será formalizada por:</w:t>
      </w:r>
    </w:p>
    <w:p w14:paraId="1675C862"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Termo de contrato.</w:t>
      </w:r>
    </w:p>
    <w:p w14:paraId="3F95186B"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Nota de empenho (quando se tratar de situação prevista nos incisos I e II, do art. 95 da Lei Federal nº 14.133/2021).</w:t>
      </w:r>
    </w:p>
    <w:p w14:paraId="55D68FEB" w14:textId="77777777" w:rsidR="00FF466B" w:rsidRPr="00C65BD8" w:rsidRDefault="00FF466B" w:rsidP="00FF466B">
      <w:pPr>
        <w:spacing w:before="120" w:after="120" w:line="360" w:lineRule="auto"/>
        <w:contextualSpacing/>
        <w:jc w:val="both"/>
        <w:rPr>
          <w:rFonts w:ascii="Times New Roman" w:hAnsi="Times New Roman" w:cs="Times New Roman"/>
        </w:rPr>
      </w:pPr>
    </w:p>
    <w:p w14:paraId="235C1C6A"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13 - DAS SANÇÕES</w:t>
      </w:r>
    </w:p>
    <w:p w14:paraId="1FBAD38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13.1 - Comete infração administrativa o fornecedor que cometer quaisquer das infrações previstas no art. 155 da Lei nº 14.133, de 2021, quais sejam:</w:t>
      </w:r>
    </w:p>
    <w:p w14:paraId="5D5153F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13.1.1 -</w:t>
      </w:r>
      <w:r w:rsidRPr="00C65BD8">
        <w:rPr>
          <w:rFonts w:ascii="Times New Roman" w:hAnsi="Times New Roman" w:cs="Times New Roman"/>
        </w:rPr>
        <w:tab/>
        <w:t>dar causa à inexecução parcial do contrato;</w:t>
      </w:r>
    </w:p>
    <w:p w14:paraId="140EB22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13.1.2 -</w:t>
      </w:r>
      <w:r w:rsidRPr="00C65BD8">
        <w:rPr>
          <w:rFonts w:ascii="Times New Roman" w:hAnsi="Times New Roman" w:cs="Times New Roman"/>
        </w:rPr>
        <w:tab/>
        <w:t>dar causa à inexecução parcial do contrato que cause grave dano à Administração, ao funcionamento dos serviços públicos ou ao interesse coletivo;</w:t>
      </w:r>
    </w:p>
    <w:p w14:paraId="12D534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13.1.3 -</w:t>
      </w:r>
      <w:r w:rsidRPr="00C65BD8">
        <w:rPr>
          <w:rFonts w:ascii="Times New Roman" w:hAnsi="Times New Roman" w:cs="Times New Roman"/>
        </w:rPr>
        <w:tab/>
        <w:t>dar causa à inexecução total do contrato;</w:t>
      </w:r>
    </w:p>
    <w:p w14:paraId="185DEDC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13.1.4 -</w:t>
      </w:r>
      <w:r w:rsidRPr="00C65BD8">
        <w:rPr>
          <w:rFonts w:ascii="Times New Roman" w:hAnsi="Times New Roman" w:cs="Times New Roman"/>
        </w:rPr>
        <w:tab/>
        <w:t>deixar de entregar a documentação exigida para o certame;</w:t>
      </w:r>
    </w:p>
    <w:p w14:paraId="6677C36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13.1.5 -</w:t>
      </w:r>
      <w:r w:rsidRPr="00C65BD8">
        <w:rPr>
          <w:rFonts w:ascii="Times New Roman" w:hAnsi="Times New Roman" w:cs="Times New Roman"/>
        </w:rPr>
        <w:tab/>
        <w:t>não manter a proposta, salvo em decorrência de fato superveniente devidamente justificado;</w:t>
      </w:r>
    </w:p>
    <w:p w14:paraId="1B905E0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13.1.6 -</w:t>
      </w:r>
      <w:r w:rsidRPr="00C65BD8">
        <w:rPr>
          <w:rFonts w:ascii="Times New Roman" w:hAnsi="Times New Roman" w:cs="Times New Roman"/>
        </w:rPr>
        <w:tab/>
        <w:t>não celebrar o contrato ou não entregar a documentação exigida para a contratação, quando convocado dentro do prazo de validade de sua proposta;</w:t>
      </w:r>
    </w:p>
    <w:p w14:paraId="0C72EB16"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13.1.7 -</w:t>
      </w:r>
      <w:r w:rsidRPr="00C65BD8">
        <w:rPr>
          <w:rFonts w:ascii="Times New Roman" w:hAnsi="Times New Roman" w:cs="Times New Roman"/>
        </w:rPr>
        <w:tab/>
        <w:t>ensejar o retardamento da execução ou da entrega do objeto sem motivo justificado;</w:t>
      </w:r>
    </w:p>
    <w:p w14:paraId="2FB1709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13.1.8 -</w:t>
      </w:r>
      <w:r w:rsidRPr="00C65BD8">
        <w:rPr>
          <w:rFonts w:ascii="Times New Roman" w:hAnsi="Times New Roman" w:cs="Times New Roman"/>
        </w:rPr>
        <w:tab/>
        <w:t>apresentar declaração ou documentação falsa exigida para o certame ou prestar declaração falsa durante a dispensa eletrônica ou a execução do contrato;</w:t>
      </w:r>
    </w:p>
    <w:p w14:paraId="453993F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13.1.9 -</w:t>
      </w:r>
      <w:r w:rsidRPr="00C65BD8">
        <w:rPr>
          <w:rFonts w:ascii="Times New Roman" w:hAnsi="Times New Roman" w:cs="Times New Roman"/>
        </w:rPr>
        <w:tab/>
        <w:t>fraudar a dispensa eletrônica ou praticar ato fraudulento na execução do contrato;</w:t>
      </w:r>
    </w:p>
    <w:p w14:paraId="4CEE6AA2"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13.1.10.</w:t>
      </w:r>
      <w:r w:rsidRPr="00C65BD8">
        <w:rPr>
          <w:rFonts w:ascii="Times New Roman" w:hAnsi="Times New Roman" w:cs="Times New Roman"/>
        </w:rPr>
        <w:tab/>
        <w:t>comportar-se de modo inidôneo ou cometer fraude de qualquer natureza;</w:t>
      </w:r>
    </w:p>
    <w:p w14:paraId="717DA503" w14:textId="77777777" w:rsidR="00FF466B" w:rsidRPr="00C65BD8" w:rsidRDefault="00FF466B" w:rsidP="00FF466B">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lastRenderedPageBreak/>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7C304DF6" w14:textId="77777777" w:rsidR="00FF466B" w:rsidRPr="00C65BD8" w:rsidRDefault="00FF466B" w:rsidP="00FF466B">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 xml:space="preserve">13.1.10.2 - Considera-se como comportamento inidôneo da mesma forma as condutas dos </w:t>
      </w:r>
      <w:proofErr w:type="spellStart"/>
      <w:r w:rsidRPr="00C65BD8">
        <w:rPr>
          <w:rFonts w:ascii="Times New Roman" w:hAnsi="Times New Roman" w:cs="Times New Roman"/>
        </w:rPr>
        <w:t>arts</w:t>
      </w:r>
      <w:proofErr w:type="spellEnd"/>
      <w:r w:rsidRPr="00C65BD8">
        <w:rPr>
          <w:rFonts w:ascii="Times New Roman" w:hAnsi="Times New Roman" w:cs="Times New Roman"/>
        </w:rPr>
        <w:t>. 337-F, 337-I, 337-L e 337-O do Código Penal.</w:t>
      </w:r>
    </w:p>
    <w:p w14:paraId="642BC98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13.1.11 -</w:t>
      </w:r>
      <w:r w:rsidRPr="00C65BD8">
        <w:rPr>
          <w:rFonts w:ascii="Times New Roman" w:hAnsi="Times New Roman" w:cs="Times New Roman"/>
        </w:rPr>
        <w:tab/>
        <w:t>praticar atos ilícitos com vistas a frustrar os objetivos deste certame.</w:t>
      </w:r>
    </w:p>
    <w:p w14:paraId="7EDF474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13.1.12 -</w:t>
      </w:r>
      <w:r w:rsidRPr="00C65BD8">
        <w:rPr>
          <w:rFonts w:ascii="Times New Roman" w:hAnsi="Times New Roman" w:cs="Times New Roman"/>
        </w:rPr>
        <w:tab/>
        <w:t>praticar ato lesivo previsto no art. 5º da Lei nº 12.846, de 1º de agosto de 2013.</w:t>
      </w:r>
    </w:p>
    <w:p w14:paraId="56BEB66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6D68630F"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13.2.1 - Advertência pela falta do subitem 6.1.1 deste Aviso de Contratação Direta, quando não se justificar a imposição de penalidade mais grave;</w:t>
      </w:r>
    </w:p>
    <w:p w14:paraId="58AD27E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13.2.2 - Multa de 5% (cinco por cento) sobre o valor estimado do(s) item(s) prejudicado(s) pela conduta do fornecedor, por qualquer das infrações dos subitens 13.1.1 a 13.1.12;</w:t>
      </w:r>
    </w:p>
    <w:p w14:paraId="05E02F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049D044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6B9E0B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13.3 - Na aplicação das sanções serão considerados:</w:t>
      </w:r>
    </w:p>
    <w:p w14:paraId="73EE02C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13.3.1 -</w:t>
      </w:r>
      <w:r w:rsidRPr="00C65BD8">
        <w:rPr>
          <w:rFonts w:ascii="Times New Roman" w:hAnsi="Times New Roman" w:cs="Times New Roman"/>
        </w:rPr>
        <w:tab/>
        <w:t>a natureza e a gravidade da infração cometida;</w:t>
      </w:r>
    </w:p>
    <w:p w14:paraId="0CEC63C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13.3.2 -</w:t>
      </w:r>
      <w:r w:rsidRPr="00C65BD8">
        <w:rPr>
          <w:rFonts w:ascii="Times New Roman" w:hAnsi="Times New Roman" w:cs="Times New Roman"/>
        </w:rPr>
        <w:tab/>
        <w:t>as peculiaridades do caso concreto;</w:t>
      </w:r>
    </w:p>
    <w:p w14:paraId="63BCB603"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13.3.3 -</w:t>
      </w:r>
      <w:r w:rsidRPr="00C65BD8">
        <w:rPr>
          <w:rFonts w:ascii="Times New Roman" w:hAnsi="Times New Roman" w:cs="Times New Roman"/>
        </w:rPr>
        <w:tab/>
        <w:t>as circunstâncias agravantes ou atenuantes;</w:t>
      </w:r>
    </w:p>
    <w:p w14:paraId="599F806F"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13.3.4 -</w:t>
      </w:r>
      <w:r w:rsidRPr="00C65BD8">
        <w:rPr>
          <w:rFonts w:ascii="Times New Roman" w:hAnsi="Times New Roman" w:cs="Times New Roman"/>
        </w:rPr>
        <w:tab/>
        <w:t>os danos que dela provierem para a Administração Pública;</w:t>
      </w:r>
    </w:p>
    <w:p w14:paraId="570EF90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13.3.5 -</w:t>
      </w:r>
      <w:r w:rsidRPr="00C65BD8">
        <w:rPr>
          <w:rFonts w:ascii="Times New Roman" w:hAnsi="Times New Roman" w:cs="Times New Roman"/>
        </w:rPr>
        <w:tab/>
        <w:t>a implantação ou o aperfeiçoamento de programa de integridade, conforme normas e orientações dos órgãos de controle.</w:t>
      </w:r>
    </w:p>
    <w:p w14:paraId="7473EE5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1E8C2C7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13.5 - A penalidade de multa pode ser aplicada cumulativamente com as demais sanções.</w:t>
      </w:r>
    </w:p>
    <w:p w14:paraId="0291CFF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2EE49D5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375AFB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24E2A91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13.9 - As sanções por atos praticados no decorrer da contratação estão previstas nos itens 8.2 e seguintes, bem como poderão estar previstas nos anexos deste Aviso.</w:t>
      </w:r>
    </w:p>
    <w:p w14:paraId="267CC3C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legalmente estabelecidas. </w:t>
      </w:r>
    </w:p>
    <w:p w14:paraId="1B6E56AC" w14:textId="77777777" w:rsidR="00FF466B" w:rsidRPr="00C65BD8" w:rsidRDefault="00FF466B" w:rsidP="00FF466B">
      <w:pPr>
        <w:spacing w:before="120" w:after="120" w:line="360" w:lineRule="auto"/>
        <w:contextualSpacing/>
        <w:jc w:val="both"/>
        <w:rPr>
          <w:rFonts w:ascii="Times New Roman" w:hAnsi="Times New Roman" w:cs="Times New Roman"/>
        </w:rPr>
      </w:pPr>
    </w:p>
    <w:p w14:paraId="72FFC79E"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14 – DAS CONDIÇÕES GERAIS</w:t>
      </w:r>
    </w:p>
    <w:p w14:paraId="5999EF0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14.1 - A execução do serviço ou entrega dos produtos será de acordo com a demanda da Câmara Municipal de Patrocínio, podendo ser solicitada um ou mais itens de uma vez.</w:t>
      </w:r>
    </w:p>
    <w:p w14:paraId="01730E4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35F65DA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4773B68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14.4 - Qualquer tolerância por parte da CONTRATANTE, no que tange ao cumprimento das obrigações ora assumidas pela CONTRATADA, não importará, em hipótese alguma, </w:t>
      </w:r>
      <w:r w:rsidRPr="00C65BD8">
        <w:rPr>
          <w:rFonts w:ascii="Times New Roman" w:hAnsi="Times New Roman" w:cs="Times New Roman"/>
        </w:rPr>
        <w:lastRenderedPageBreak/>
        <w:t>em alteração contratual, novação, transação ou perdão, permanecendo em pleno vigor todas as condições do ajuste e podendo a Câmara exigir o seu cumprimento a qualquer tempo.</w:t>
      </w:r>
    </w:p>
    <w:p w14:paraId="3D2EE6D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4B5B632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0BF6E7B2" w14:textId="77777777" w:rsidR="00FF466B" w:rsidRPr="00C65BD8" w:rsidRDefault="00FF466B" w:rsidP="00FF466B">
      <w:pPr>
        <w:spacing w:before="120" w:after="120" w:line="360" w:lineRule="auto"/>
        <w:contextualSpacing/>
        <w:jc w:val="both"/>
        <w:rPr>
          <w:rFonts w:ascii="Times New Roman" w:hAnsi="Times New Roman" w:cs="Times New Roman"/>
        </w:rPr>
      </w:pPr>
    </w:p>
    <w:p w14:paraId="1A235110" w14:textId="4890E2D3" w:rsidR="00FF466B" w:rsidRPr="00C65BD8" w:rsidRDefault="00FF466B" w:rsidP="00FF466B">
      <w:pPr>
        <w:rPr>
          <w:rFonts w:ascii="Times New Roman" w:hAnsi="Times New Roman" w:cs="Times New Roman"/>
        </w:rPr>
      </w:pPr>
      <w:r w:rsidRPr="00C65BD8">
        <w:rPr>
          <w:rFonts w:ascii="Times New Roman" w:hAnsi="Times New Roman" w:cs="Times New Roman"/>
        </w:rPr>
        <w:t xml:space="preserve">Patrocínio, </w:t>
      </w:r>
      <w:r>
        <w:rPr>
          <w:rFonts w:ascii="Times New Roman" w:hAnsi="Times New Roman" w:cs="Times New Roman"/>
        </w:rPr>
        <w:t>2</w:t>
      </w:r>
      <w:r w:rsidR="00B8651B">
        <w:rPr>
          <w:rFonts w:ascii="Times New Roman" w:hAnsi="Times New Roman" w:cs="Times New Roman"/>
        </w:rPr>
        <w:t>6</w:t>
      </w:r>
      <w:r w:rsidRPr="00C65BD8">
        <w:rPr>
          <w:rFonts w:ascii="Times New Roman" w:hAnsi="Times New Roman" w:cs="Times New Roman"/>
        </w:rPr>
        <w:t xml:space="preserve"> de </w:t>
      </w:r>
      <w:r w:rsidR="00BC6B73">
        <w:rPr>
          <w:rFonts w:ascii="Times New Roman" w:hAnsi="Times New Roman" w:cs="Times New Roman"/>
        </w:rPr>
        <w:t>ma</w:t>
      </w:r>
      <w:r w:rsidR="00B3317E">
        <w:rPr>
          <w:rFonts w:ascii="Times New Roman" w:hAnsi="Times New Roman" w:cs="Times New Roman"/>
        </w:rPr>
        <w:t>io</w:t>
      </w:r>
      <w:r w:rsidRPr="00C65BD8">
        <w:rPr>
          <w:rFonts w:ascii="Times New Roman" w:hAnsi="Times New Roman" w:cs="Times New Roman"/>
        </w:rPr>
        <w:t xml:space="preserve"> de 202</w:t>
      </w:r>
      <w:r>
        <w:rPr>
          <w:rFonts w:ascii="Times New Roman" w:hAnsi="Times New Roman" w:cs="Times New Roman"/>
        </w:rPr>
        <w:t>5</w:t>
      </w:r>
      <w:r w:rsidRPr="00C65BD8">
        <w:rPr>
          <w:rFonts w:ascii="Times New Roman" w:hAnsi="Times New Roman" w:cs="Times New Roman"/>
        </w:rPr>
        <w:t xml:space="preserve">. </w:t>
      </w:r>
    </w:p>
    <w:p w14:paraId="57E98B88" w14:textId="77777777" w:rsidR="00FF466B" w:rsidRPr="00C65BD8" w:rsidRDefault="00FF466B" w:rsidP="00FF466B">
      <w:pPr>
        <w:contextualSpacing/>
        <w:jc w:val="both"/>
        <w:rPr>
          <w:rFonts w:ascii="Times New Roman" w:hAnsi="Times New Roman" w:cs="Times New Roman"/>
        </w:rPr>
      </w:pPr>
    </w:p>
    <w:p w14:paraId="14025041" w14:textId="7B75E3D7" w:rsidR="00B3317E" w:rsidRPr="00B3317E" w:rsidRDefault="00B3317E" w:rsidP="00B3317E">
      <w:pPr>
        <w:contextualSpacing/>
        <w:jc w:val="center"/>
        <w:rPr>
          <w:rFonts w:ascii="Times New Roman" w:hAnsi="Times New Roman" w:cs="Times New Roman"/>
          <w:b/>
          <w:bCs/>
        </w:rPr>
      </w:pPr>
      <w:r w:rsidRPr="00B3317E">
        <w:rPr>
          <w:rFonts w:ascii="Times New Roman" w:hAnsi="Times New Roman" w:cs="Times New Roman"/>
          <w:b/>
          <w:bCs/>
          <w:i/>
          <w:iCs/>
        </w:rPr>
        <w:t>Victor Abrão Moreira Queiroz</w:t>
      </w:r>
    </w:p>
    <w:p w14:paraId="3CEA7626" w14:textId="77777777" w:rsidR="00B3317E" w:rsidRPr="00B3317E" w:rsidRDefault="00B3317E" w:rsidP="00B3317E">
      <w:pPr>
        <w:contextualSpacing/>
        <w:jc w:val="center"/>
        <w:rPr>
          <w:rFonts w:ascii="Times New Roman" w:hAnsi="Times New Roman" w:cs="Times New Roman"/>
          <w:bCs/>
        </w:rPr>
      </w:pPr>
      <w:r w:rsidRPr="00B3317E">
        <w:rPr>
          <w:rFonts w:ascii="Times New Roman" w:hAnsi="Times New Roman" w:cs="Times New Roman"/>
          <w:bCs/>
        </w:rPr>
        <w:t>Diretor de Compras, Licitações e Almoxarifado</w:t>
      </w:r>
    </w:p>
    <w:p w14:paraId="0C82993E" w14:textId="77777777" w:rsidR="00FF466B" w:rsidRPr="00370803" w:rsidRDefault="00FF466B" w:rsidP="00FF466B">
      <w:pPr>
        <w:contextualSpacing/>
        <w:jc w:val="center"/>
        <w:rPr>
          <w:rFonts w:ascii="Times New Roman" w:hAnsi="Times New Roman" w:cs="Times New Roman"/>
        </w:rPr>
      </w:pPr>
    </w:p>
    <w:p w14:paraId="093D9AF2" w14:textId="77777777" w:rsidR="00FF466B" w:rsidRPr="00370803" w:rsidRDefault="00FF466B" w:rsidP="00FF466B">
      <w:pPr>
        <w:rPr>
          <w:rFonts w:ascii="Times New Roman" w:hAnsi="Times New Roman" w:cs="Times New Roman"/>
        </w:rPr>
      </w:pPr>
    </w:p>
    <w:p w14:paraId="42D5AB46" w14:textId="77777777" w:rsidR="00650B95" w:rsidRPr="00370803" w:rsidRDefault="00650B95" w:rsidP="00FF466B">
      <w:pPr>
        <w:spacing w:before="120" w:after="120" w:line="360" w:lineRule="auto"/>
        <w:contextualSpacing/>
        <w:jc w:val="both"/>
        <w:rPr>
          <w:rFonts w:ascii="Times New Roman" w:hAnsi="Times New Roman" w:cs="Times New Roman"/>
        </w:rPr>
      </w:pPr>
    </w:p>
    <w:sectPr w:rsidR="00650B95" w:rsidRPr="0037080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D3B37" w14:textId="77777777" w:rsidR="0073035F" w:rsidRDefault="0073035F" w:rsidP="00863038">
      <w:r>
        <w:separator/>
      </w:r>
    </w:p>
  </w:endnote>
  <w:endnote w:type="continuationSeparator" w:id="0">
    <w:p w14:paraId="2206A3FE" w14:textId="77777777" w:rsidR="0073035F" w:rsidRDefault="0073035F" w:rsidP="0086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1785" w14:textId="77777777" w:rsidR="00863038" w:rsidRPr="00D24B5A" w:rsidRDefault="00863038" w:rsidP="00863038">
    <w:pPr>
      <w:pStyle w:val="Rodap"/>
      <w:jc w:val="center"/>
      <w:rPr>
        <w:rFonts w:ascii="Arial" w:hAnsi="Arial" w:cs="Arial"/>
        <w:b/>
        <w:sz w:val="16"/>
        <w:szCs w:val="16"/>
      </w:rPr>
    </w:pPr>
    <w:r w:rsidRPr="00D3281E">
      <w:rPr>
        <w:rFonts w:ascii="Arial" w:hAnsi="Arial" w:cs="Arial"/>
        <w:b/>
        <w:bCs/>
        <w:color w:val="2C363A"/>
        <w:sz w:val="16"/>
        <w:szCs w:val="16"/>
      </w:rPr>
      <w:t>Rua Joaquim Carlos dos Santos, 199</w:t>
    </w:r>
    <w:r>
      <w:rPr>
        <w:rFonts w:ascii="Arial" w:hAnsi="Arial" w:cs="Arial"/>
        <w:b/>
        <w:bCs/>
        <w:color w:val="2C363A"/>
        <w:sz w:val="16"/>
        <w:szCs w:val="16"/>
      </w:rPr>
      <w:t xml:space="preserve"> </w:t>
    </w:r>
    <w:r w:rsidRPr="00D24B5A">
      <w:rPr>
        <w:rFonts w:ascii="Arial" w:hAnsi="Arial" w:cs="Arial"/>
        <w:b/>
        <w:sz w:val="16"/>
        <w:szCs w:val="16"/>
      </w:rPr>
      <w:t>–</w:t>
    </w:r>
    <w:r>
      <w:rPr>
        <w:rFonts w:ascii="Arial" w:hAnsi="Arial" w:cs="Arial"/>
        <w:b/>
        <w:sz w:val="16"/>
        <w:szCs w:val="16"/>
      </w:rPr>
      <w:t xml:space="preserve"> F</w:t>
    </w:r>
    <w:r w:rsidRPr="00D24B5A">
      <w:rPr>
        <w:rFonts w:ascii="Arial" w:hAnsi="Arial" w:cs="Arial"/>
        <w:b/>
        <w:sz w:val="16"/>
        <w:szCs w:val="16"/>
      </w:rPr>
      <w:t>one:</w:t>
    </w:r>
    <w:r>
      <w:rPr>
        <w:rFonts w:ascii="Arial" w:hAnsi="Arial" w:cs="Arial"/>
        <w:b/>
        <w:sz w:val="16"/>
        <w:szCs w:val="16"/>
      </w:rPr>
      <w:t xml:space="preserve"> </w:t>
    </w:r>
    <w:r w:rsidRPr="00D24B5A">
      <w:rPr>
        <w:rFonts w:ascii="Arial" w:hAnsi="Arial" w:cs="Arial"/>
        <w:b/>
        <w:sz w:val="16"/>
        <w:szCs w:val="16"/>
      </w:rPr>
      <w:t>(34)</w:t>
    </w:r>
    <w:r>
      <w:rPr>
        <w:rFonts w:ascii="Arial" w:hAnsi="Arial" w:cs="Arial"/>
        <w:b/>
        <w:sz w:val="16"/>
        <w:szCs w:val="16"/>
      </w:rPr>
      <w:t xml:space="preserve"> 3515-3200 </w:t>
    </w:r>
    <w:r w:rsidRPr="00D24B5A">
      <w:rPr>
        <w:rFonts w:ascii="Arial" w:hAnsi="Arial" w:cs="Arial"/>
        <w:b/>
        <w:sz w:val="16"/>
        <w:szCs w:val="16"/>
      </w:rPr>
      <w:t>–</w:t>
    </w:r>
    <w:r>
      <w:rPr>
        <w:rFonts w:ascii="Arial" w:hAnsi="Arial" w:cs="Arial"/>
        <w:b/>
        <w:sz w:val="16"/>
        <w:szCs w:val="16"/>
      </w:rPr>
      <w:t xml:space="preserve"> </w:t>
    </w:r>
    <w:r w:rsidRPr="00D24B5A">
      <w:rPr>
        <w:rFonts w:ascii="Arial" w:hAnsi="Arial" w:cs="Arial"/>
        <w:b/>
        <w:sz w:val="16"/>
        <w:szCs w:val="16"/>
      </w:rPr>
      <w:t>e-mail: contato@cmpatrocinio.mg.gov.br</w:t>
    </w:r>
  </w:p>
  <w:p w14:paraId="28F406D6" w14:textId="77777777" w:rsidR="00863038" w:rsidRPr="00D3281E" w:rsidRDefault="00863038" w:rsidP="00863038">
    <w:pPr>
      <w:pStyle w:val="v1msonormal"/>
      <w:shd w:val="clear" w:color="auto" w:fill="FFFFFF"/>
      <w:spacing w:before="0" w:beforeAutospacing="0" w:after="0" w:afterAutospacing="0"/>
      <w:jc w:val="center"/>
      <w:rPr>
        <w:rFonts w:ascii="Arial" w:hAnsi="Arial" w:cs="Arial"/>
        <w:color w:val="2C363A"/>
        <w:sz w:val="16"/>
        <w:szCs w:val="16"/>
      </w:rPr>
    </w:pPr>
    <w:r w:rsidRPr="00D3281E">
      <w:rPr>
        <w:rFonts w:ascii="Arial" w:hAnsi="Arial" w:cs="Arial"/>
        <w:b/>
        <w:bCs/>
        <w:color w:val="2C363A"/>
        <w:sz w:val="16"/>
        <w:szCs w:val="16"/>
      </w:rPr>
      <w:t>Cidade Jardim. CEP 38747-056</w:t>
    </w:r>
    <w:r w:rsidRPr="00D3281E">
      <w:rPr>
        <w:rFonts w:ascii="Arial" w:hAnsi="Arial" w:cs="Arial"/>
        <w:color w:val="2C363A"/>
        <w:sz w:val="16"/>
        <w:szCs w:val="16"/>
      </w:rPr>
      <w:t>.</w:t>
    </w:r>
  </w:p>
  <w:p w14:paraId="1EF0FB54" w14:textId="77777777" w:rsidR="00863038" w:rsidRDefault="008630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B873" w14:textId="77777777" w:rsidR="0073035F" w:rsidRDefault="0073035F" w:rsidP="00863038">
      <w:r>
        <w:separator/>
      </w:r>
    </w:p>
  </w:footnote>
  <w:footnote w:type="continuationSeparator" w:id="0">
    <w:p w14:paraId="4954DDC1" w14:textId="77777777" w:rsidR="0073035F" w:rsidRDefault="0073035F" w:rsidP="0086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A12C" w14:textId="77777777" w:rsidR="00863038" w:rsidRDefault="00863038" w:rsidP="00863038">
    <w:pPr>
      <w:pStyle w:val="Cabealho"/>
    </w:pPr>
    <w:r>
      <w:rPr>
        <w:noProof/>
      </w:rPr>
      <w:drawing>
        <wp:anchor distT="0" distB="0" distL="114300" distR="114300" simplePos="0" relativeHeight="251659264" behindDoc="1" locked="0" layoutInCell="1" allowOverlap="1" wp14:anchorId="64480194" wp14:editId="39718341">
          <wp:simplePos x="0" y="0"/>
          <wp:positionH relativeFrom="column">
            <wp:posOffset>74930</wp:posOffset>
          </wp:positionH>
          <wp:positionV relativeFrom="paragraph">
            <wp:posOffset>6985</wp:posOffset>
          </wp:positionV>
          <wp:extent cx="720725" cy="749935"/>
          <wp:effectExtent l="0" t="0" r="3175" b="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3C191" w14:textId="77777777" w:rsidR="00863038" w:rsidRPr="00D3281E" w:rsidRDefault="00863038" w:rsidP="00863038">
    <w:pPr>
      <w:pStyle w:val="Cabealho"/>
      <w:rPr>
        <w:rFonts w:ascii="Arial" w:hAnsi="Arial" w:cs="Arial"/>
        <w:b/>
        <w:sz w:val="36"/>
        <w:szCs w:val="36"/>
        <w:u w:val="single"/>
      </w:rPr>
    </w:pPr>
    <w:r>
      <w:t xml:space="preserve">   </w:t>
    </w:r>
    <w:r w:rsidRPr="00D3281E">
      <w:rPr>
        <w:rFonts w:ascii="Arial" w:hAnsi="Arial" w:cs="Arial"/>
        <w:b/>
        <w:sz w:val="36"/>
        <w:szCs w:val="36"/>
        <w:u w:val="single"/>
      </w:rPr>
      <w:t>CÂMARA MUNICIPAL DE PATROCÍNIO</w:t>
    </w:r>
  </w:p>
  <w:p w14:paraId="01E5B471" w14:textId="77777777" w:rsidR="00863038" w:rsidRPr="00D24B5A" w:rsidRDefault="00863038" w:rsidP="00863038">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5B87F60C" w14:textId="77777777" w:rsidR="00863038" w:rsidRDefault="008630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674"/>
    <w:multiLevelType w:val="multilevel"/>
    <w:tmpl w:val="90C6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2A6823"/>
    <w:multiLevelType w:val="multilevel"/>
    <w:tmpl w:val="BA1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3994180">
    <w:abstractNumId w:val="0"/>
  </w:num>
  <w:num w:numId="2" w16cid:durableId="100416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031FBE"/>
    <w:rsid w:val="0008287B"/>
    <w:rsid w:val="000C6F7C"/>
    <w:rsid w:val="001069A6"/>
    <w:rsid w:val="00107F83"/>
    <w:rsid w:val="00134914"/>
    <w:rsid w:val="001760F8"/>
    <w:rsid w:val="00193E59"/>
    <w:rsid w:val="001945EF"/>
    <w:rsid w:val="001B0742"/>
    <w:rsid w:val="001B66C7"/>
    <w:rsid w:val="001C7141"/>
    <w:rsid w:val="00245154"/>
    <w:rsid w:val="00251C1E"/>
    <w:rsid w:val="00253F9B"/>
    <w:rsid w:val="002A5BB6"/>
    <w:rsid w:val="00362577"/>
    <w:rsid w:val="00370803"/>
    <w:rsid w:val="003901C1"/>
    <w:rsid w:val="003E4CEA"/>
    <w:rsid w:val="00520CDA"/>
    <w:rsid w:val="005222A8"/>
    <w:rsid w:val="00531227"/>
    <w:rsid w:val="00557865"/>
    <w:rsid w:val="00557A54"/>
    <w:rsid w:val="005B6028"/>
    <w:rsid w:val="00611F6D"/>
    <w:rsid w:val="006266F7"/>
    <w:rsid w:val="0064125C"/>
    <w:rsid w:val="00646E6A"/>
    <w:rsid w:val="00650B95"/>
    <w:rsid w:val="00666B3E"/>
    <w:rsid w:val="00681919"/>
    <w:rsid w:val="0073035F"/>
    <w:rsid w:val="00767628"/>
    <w:rsid w:val="00787672"/>
    <w:rsid w:val="00797D8C"/>
    <w:rsid w:val="007B0C85"/>
    <w:rsid w:val="007D7D2B"/>
    <w:rsid w:val="008054C4"/>
    <w:rsid w:val="00816861"/>
    <w:rsid w:val="00863038"/>
    <w:rsid w:val="00913388"/>
    <w:rsid w:val="009638A4"/>
    <w:rsid w:val="009D18B0"/>
    <w:rsid w:val="00A01C11"/>
    <w:rsid w:val="00A35FD8"/>
    <w:rsid w:val="00A95D9E"/>
    <w:rsid w:val="00AA507C"/>
    <w:rsid w:val="00B3317E"/>
    <w:rsid w:val="00B77E86"/>
    <w:rsid w:val="00B8651B"/>
    <w:rsid w:val="00B9241E"/>
    <w:rsid w:val="00BB7A98"/>
    <w:rsid w:val="00BC1B44"/>
    <w:rsid w:val="00BC6B73"/>
    <w:rsid w:val="00BE766F"/>
    <w:rsid w:val="00C65BD8"/>
    <w:rsid w:val="00CC1023"/>
    <w:rsid w:val="00CE0368"/>
    <w:rsid w:val="00D22B29"/>
    <w:rsid w:val="00D450DB"/>
    <w:rsid w:val="00D60327"/>
    <w:rsid w:val="00D6522B"/>
    <w:rsid w:val="00DB3BE6"/>
    <w:rsid w:val="00DC3141"/>
    <w:rsid w:val="00EA576A"/>
    <w:rsid w:val="00EC36A5"/>
    <w:rsid w:val="00F07DAC"/>
    <w:rsid w:val="00F27F6C"/>
    <w:rsid w:val="00F36E92"/>
    <w:rsid w:val="00F94BCC"/>
    <w:rsid w:val="00FB6B49"/>
    <w:rsid w:val="00FB6B8E"/>
    <w:rsid w:val="00FF4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paragraph" w:styleId="Ttulo1">
    <w:name w:val="heading 1"/>
    <w:basedOn w:val="Normal"/>
    <w:next w:val="Normal"/>
    <w:link w:val="Ttulo1Char"/>
    <w:uiPriority w:val="9"/>
    <w:qFormat/>
    <w:rsid w:val="00F94B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B865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 w:type="character" w:styleId="Hyperlink">
    <w:name w:val="Hyperlink"/>
    <w:basedOn w:val="Fontepargpadro"/>
    <w:uiPriority w:val="99"/>
    <w:unhideWhenUsed/>
    <w:rsid w:val="00FF466B"/>
    <w:rPr>
      <w:color w:val="0563C1" w:themeColor="hyperlink"/>
      <w:u w:val="single"/>
    </w:rPr>
  </w:style>
  <w:style w:type="paragraph" w:styleId="Cabealho">
    <w:name w:val="header"/>
    <w:basedOn w:val="Normal"/>
    <w:link w:val="CabealhoChar"/>
    <w:uiPriority w:val="99"/>
    <w:unhideWhenUsed/>
    <w:rsid w:val="00863038"/>
    <w:pPr>
      <w:tabs>
        <w:tab w:val="center" w:pos="4252"/>
        <w:tab w:val="right" w:pos="8504"/>
      </w:tabs>
    </w:pPr>
  </w:style>
  <w:style w:type="character" w:customStyle="1" w:styleId="CabealhoChar">
    <w:name w:val="Cabeçalho Char"/>
    <w:basedOn w:val="Fontepargpadro"/>
    <w:link w:val="Cabealho"/>
    <w:uiPriority w:val="99"/>
    <w:rsid w:val="00863038"/>
    <w:rPr>
      <w:rFonts w:ascii="Ecofont_Spranq_eco_Sans" w:eastAsia="Times New Roman" w:hAnsi="Ecofont_Spranq_eco_Sans" w:cs="Tahoma"/>
      <w:sz w:val="24"/>
      <w:szCs w:val="24"/>
      <w:lang w:eastAsia="pt-BR"/>
    </w:rPr>
  </w:style>
  <w:style w:type="paragraph" w:styleId="Rodap">
    <w:name w:val="footer"/>
    <w:basedOn w:val="Normal"/>
    <w:link w:val="RodapChar"/>
    <w:uiPriority w:val="99"/>
    <w:unhideWhenUsed/>
    <w:rsid w:val="00863038"/>
    <w:pPr>
      <w:tabs>
        <w:tab w:val="center" w:pos="4252"/>
        <w:tab w:val="right" w:pos="8504"/>
      </w:tabs>
    </w:pPr>
  </w:style>
  <w:style w:type="character" w:customStyle="1" w:styleId="RodapChar">
    <w:name w:val="Rodapé Char"/>
    <w:basedOn w:val="Fontepargpadro"/>
    <w:link w:val="Rodap"/>
    <w:uiPriority w:val="99"/>
    <w:rsid w:val="00863038"/>
    <w:rPr>
      <w:rFonts w:ascii="Ecofont_Spranq_eco_Sans" w:eastAsia="Times New Roman" w:hAnsi="Ecofont_Spranq_eco_Sans" w:cs="Tahoma"/>
      <w:sz w:val="24"/>
      <w:szCs w:val="24"/>
      <w:lang w:eastAsia="pt-BR"/>
    </w:rPr>
  </w:style>
  <w:style w:type="paragraph" w:customStyle="1" w:styleId="v1msonormal">
    <w:name w:val="v1msonormal"/>
    <w:basedOn w:val="Normal"/>
    <w:rsid w:val="00863038"/>
    <w:pPr>
      <w:spacing w:before="100" w:beforeAutospacing="1" w:after="100" w:afterAutospacing="1"/>
    </w:pPr>
    <w:rPr>
      <w:rFonts w:ascii="Times New Roman" w:hAnsi="Times New Roman" w:cs="Times New Roman"/>
    </w:rPr>
  </w:style>
  <w:style w:type="character" w:customStyle="1" w:styleId="Ttulo1Char">
    <w:name w:val="Título 1 Char"/>
    <w:basedOn w:val="Fontepargpadro"/>
    <w:link w:val="Ttulo1"/>
    <w:uiPriority w:val="9"/>
    <w:rsid w:val="00F94BCC"/>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B8651B"/>
    <w:rPr>
      <w:rFonts w:asciiTheme="majorHAnsi" w:eastAsiaTheme="majorEastAsia" w:hAnsiTheme="majorHAnsi" w:cstheme="majorBidi"/>
      <w:color w:val="2E74B5" w:themeColor="accent1" w:themeShade="BF"/>
      <w:sz w:val="26"/>
      <w:szCs w:val="26"/>
      <w:lang w:eastAsia="pt-BR"/>
    </w:rPr>
  </w:style>
  <w:style w:type="paragraph" w:styleId="NormalWeb">
    <w:name w:val="Normal (Web)"/>
    <w:basedOn w:val="Normal"/>
    <w:uiPriority w:val="99"/>
    <w:semiHidden/>
    <w:unhideWhenUsed/>
    <w:rsid w:val="00B865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72679">
      <w:bodyDiv w:val="1"/>
      <w:marLeft w:val="0"/>
      <w:marRight w:val="0"/>
      <w:marTop w:val="0"/>
      <w:marBottom w:val="0"/>
      <w:divBdr>
        <w:top w:val="none" w:sz="0" w:space="0" w:color="auto"/>
        <w:left w:val="none" w:sz="0" w:space="0" w:color="auto"/>
        <w:bottom w:val="none" w:sz="0" w:space="0" w:color="auto"/>
        <w:right w:val="none" w:sz="0" w:space="0" w:color="auto"/>
      </w:divBdr>
    </w:div>
    <w:div w:id="950553230">
      <w:bodyDiv w:val="1"/>
      <w:marLeft w:val="0"/>
      <w:marRight w:val="0"/>
      <w:marTop w:val="0"/>
      <w:marBottom w:val="0"/>
      <w:divBdr>
        <w:top w:val="none" w:sz="0" w:space="0" w:color="auto"/>
        <w:left w:val="none" w:sz="0" w:space="0" w:color="auto"/>
        <w:bottom w:val="none" w:sz="0" w:space="0" w:color="auto"/>
        <w:right w:val="none" w:sz="0" w:space="0" w:color="auto"/>
      </w:divBdr>
    </w:div>
    <w:div w:id="1103037967">
      <w:bodyDiv w:val="1"/>
      <w:marLeft w:val="0"/>
      <w:marRight w:val="0"/>
      <w:marTop w:val="0"/>
      <w:marBottom w:val="0"/>
      <w:divBdr>
        <w:top w:val="none" w:sz="0" w:space="0" w:color="auto"/>
        <w:left w:val="none" w:sz="0" w:space="0" w:color="auto"/>
        <w:bottom w:val="none" w:sz="0" w:space="0" w:color="auto"/>
        <w:right w:val="none" w:sz="0" w:space="0" w:color="auto"/>
      </w:divBdr>
    </w:div>
    <w:div w:id="1207376353">
      <w:bodyDiv w:val="1"/>
      <w:marLeft w:val="0"/>
      <w:marRight w:val="0"/>
      <w:marTop w:val="0"/>
      <w:marBottom w:val="0"/>
      <w:divBdr>
        <w:top w:val="none" w:sz="0" w:space="0" w:color="auto"/>
        <w:left w:val="none" w:sz="0" w:space="0" w:color="auto"/>
        <w:bottom w:val="none" w:sz="0" w:space="0" w:color="auto"/>
        <w:right w:val="none" w:sz="0" w:space="0" w:color="auto"/>
      </w:divBdr>
    </w:div>
    <w:div w:id="1213619060">
      <w:bodyDiv w:val="1"/>
      <w:marLeft w:val="0"/>
      <w:marRight w:val="0"/>
      <w:marTop w:val="0"/>
      <w:marBottom w:val="0"/>
      <w:divBdr>
        <w:top w:val="none" w:sz="0" w:space="0" w:color="auto"/>
        <w:left w:val="none" w:sz="0" w:space="0" w:color="auto"/>
        <w:bottom w:val="none" w:sz="0" w:space="0" w:color="auto"/>
        <w:right w:val="none" w:sz="0" w:space="0" w:color="auto"/>
      </w:divBdr>
    </w:div>
    <w:div w:id="1386955636">
      <w:bodyDiv w:val="1"/>
      <w:marLeft w:val="0"/>
      <w:marRight w:val="0"/>
      <w:marTop w:val="0"/>
      <w:marBottom w:val="0"/>
      <w:divBdr>
        <w:top w:val="none" w:sz="0" w:space="0" w:color="auto"/>
        <w:left w:val="none" w:sz="0" w:space="0" w:color="auto"/>
        <w:bottom w:val="none" w:sz="0" w:space="0" w:color="auto"/>
        <w:right w:val="none" w:sz="0" w:space="0" w:color="auto"/>
      </w:divBdr>
    </w:div>
    <w:div w:id="1589002571">
      <w:bodyDiv w:val="1"/>
      <w:marLeft w:val="0"/>
      <w:marRight w:val="0"/>
      <w:marTop w:val="0"/>
      <w:marBottom w:val="0"/>
      <w:divBdr>
        <w:top w:val="none" w:sz="0" w:space="0" w:color="auto"/>
        <w:left w:val="none" w:sz="0" w:space="0" w:color="auto"/>
        <w:bottom w:val="none" w:sz="0" w:space="0" w:color="auto"/>
        <w:right w:val="none" w:sz="0" w:space="0" w:color="auto"/>
      </w:divBdr>
    </w:div>
    <w:div w:id="1613584354">
      <w:bodyDiv w:val="1"/>
      <w:marLeft w:val="0"/>
      <w:marRight w:val="0"/>
      <w:marTop w:val="0"/>
      <w:marBottom w:val="0"/>
      <w:divBdr>
        <w:top w:val="none" w:sz="0" w:space="0" w:color="auto"/>
        <w:left w:val="none" w:sz="0" w:space="0" w:color="auto"/>
        <w:bottom w:val="none" w:sz="0" w:space="0" w:color="auto"/>
        <w:right w:val="none" w:sz="0" w:space="0" w:color="auto"/>
      </w:divBdr>
    </w:div>
    <w:div w:id="2046590938">
      <w:bodyDiv w:val="1"/>
      <w:marLeft w:val="0"/>
      <w:marRight w:val="0"/>
      <w:marTop w:val="0"/>
      <w:marBottom w:val="0"/>
      <w:divBdr>
        <w:top w:val="none" w:sz="0" w:space="0" w:color="auto"/>
        <w:left w:val="none" w:sz="0" w:space="0" w:color="auto"/>
        <w:bottom w:val="none" w:sz="0" w:space="0" w:color="auto"/>
        <w:right w:val="none" w:sz="0" w:space="0" w:color="auto"/>
      </w:divBdr>
    </w:div>
    <w:div w:id="209034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8372</Words>
  <Characters>45209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2</cp:revision>
  <cp:lastPrinted>2025-05-26T13:35:00Z</cp:lastPrinted>
  <dcterms:created xsi:type="dcterms:W3CDTF">2025-05-26T13:36:00Z</dcterms:created>
  <dcterms:modified xsi:type="dcterms:W3CDTF">2025-05-26T13:36:00Z</dcterms:modified>
</cp:coreProperties>
</file>