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F731"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2F29F88E"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78312CAF" w14:textId="77777777" w:rsidR="00A74CEC" w:rsidRPr="00E30EF4" w:rsidRDefault="00A74CEC" w:rsidP="00A74CEC">
      <w:pPr>
        <w:spacing w:line="360" w:lineRule="auto"/>
        <w:jc w:val="both"/>
        <w:rPr>
          <w:rFonts w:ascii="Times New Roman" w:hAnsi="Times New Roman" w:cs="Times New Roman"/>
        </w:rPr>
      </w:pPr>
    </w:p>
    <w:p w14:paraId="118C3242" w14:textId="77777777" w:rsidR="00A74CEC" w:rsidRPr="00E30EF4" w:rsidRDefault="00A74CEC" w:rsidP="00A74CEC">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A70CB0B"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642A4042"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43F006F5" w14:textId="77777777" w:rsidR="00A74CEC" w:rsidRPr="00E30EF4" w:rsidRDefault="00A74CEC" w:rsidP="00A74CEC">
      <w:pPr>
        <w:spacing w:before="120" w:after="120" w:line="360" w:lineRule="auto"/>
        <w:jc w:val="both"/>
        <w:rPr>
          <w:rFonts w:ascii="Times New Roman" w:hAnsi="Times New Roman" w:cs="Times New Roman"/>
          <w:b/>
          <w:bCs/>
          <w:color w:val="000000"/>
        </w:rPr>
      </w:pPr>
    </w:p>
    <w:p w14:paraId="6A47BCD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5D2399A2" w14:textId="77777777" w:rsidR="00A74CEC" w:rsidRDefault="00A74CEC" w:rsidP="00A74CEC">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6C535F7E" w14:textId="6D2A0B01" w:rsidR="00E829FF" w:rsidRPr="00E829FF" w:rsidRDefault="00A74CEC" w:rsidP="00A74CEC">
      <w:pPr>
        <w:spacing w:before="120" w:after="120" w:line="360" w:lineRule="auto"/>
        <w:jc w:val="both"/>
        <w:rPr>
          <w:rFonts w:ascii="Times New Roman" w:hAnsi="Times New Roman" w:cs="Times New Roman"/>
        </w:rPr>
      </w:pPr>
      <w:r>
        <w:rPr>
          <w:rFonts w:ascii="Times New Roman" w:hAnsi="Times New Roman" w:cs="Times New Roman"/>
          <w:color w:val="000000"/>
        </w:rPr>
        <w:t xml:space="preserve">O curso em questão tem como finalidade capacitar </w:t>
      </w:r>
      <w:r w:rsidR="003662CD">
        <w:rPr>
          <w:rFonts w:ascii="Times New Roman" w:hAnsi="Times New Roman" w:cs="Times New Roman"/>
          <w:color w:val="000000"/>
        </w:rPr>
        <w:t>o</w:t>
      </w:r>
      <w:r>
        <w:rPr>
          <w:rFonts w:ascii="Times New Roman" w:hAnsi="Times New Roman" w:cs="Times New Roman"/>
          <w:color w:val="000000"/>
        </w:rPr>
        <w:t xml:space="preserve"> </w:t>
      </w:r>
      <w:r w:rsidR="001004E3">
        <w:rPr>
          <w:rFonts w:ascii="Times New Roman" w:hAnsi="Times New Roman" w:cs="Times New Roman"/>
          <w:color w:val="000000"/>
        </w:rPr>
        <w:t>Vereador</w:t>
      </w:r>
      <w:r w:rsidR="00206403">
        <w:rPr>
          <w:rFonts w:ascii="Times New Roman" w:hAnsi="Times New Roman" w:cs="Times New Roman"/>
          <w:color w:val="000000"/>
        </w:rPr>
        <w:t xml:space="preserve"> Leandro </w:t>
      </w:r>
      <w:proofErr w:type="spellStart"/>
      <w:r w:rsidR="00206403">
        <w:rPr>
          <w:rFonts w:ascii="Times New Roman" w:hAnsi="Times New Roman" w:cs="Times New Roman"/>
          <w:color w:val="000000"/>
        </w:rPr>
        <w:t>Maximo</w:t>
      </w:r>
      <w:proofErr w:type="spellEnd"/>
      <w:r w:rsidR="00206403">
        <w:rPr>
          <w:rFonts w:ascii="Times New Roman" w:hAnsi="Times New Roman" w:cs="Times New Roman"/>
          <w:color w:val="000000"/>
        </w:rPr>
        <w:t xml:space="preserve"> Caixeta</w:t>
      </w:r>
      <w:r>
        <w:rPr>
          <w:rFonts w:ascii="Times New Roman" w:hAnsi="Times New Roman" w:cs="Times New Roman"/>
          <w:color w:val="000000"/>
        </w:rPr>
        <w:t>, a fim de que el</w:t>
      </w:r>
      <w:r w:rsidR="001004E3">
        <w:rPr>
          <w:rFonts w:ascii="Times New Roman" w:hAnsi="Times New Roman" w:cs="Times New Roman"/>
          <w:color w:val="000000"/>
        </w:rPr>
        <w:t>e</w:t>
      </w:r>
      <w:r>
        <w:rPr>
          <w:rFonts w:ascii="Times New Roman" w:hAnsi="Times New Roman" w:cs="Times New Roman"/>
          <w:color w:val="000000"/>
        </w:rPr>
        <w:t xml:space="preserve"> possa desempenhar suas atividades com maior qualidade e acuidade, principalmente no que concerne </w:t>
      </w:r>
      <w:r w:rsidR="000975BA">
        <w:rPr>
          <w:rFonts w:ascii="Times New Roman" w:hAnsi="Times New Roman" w:cs="Times New Roman"/>
          <w:color w:val="000000"/>
        </w:rPr>
        <w:t>a assuntos relacionados à</w:t>
      </w:r>
      <w:r w:rsidR="00512059">
        <w:rPr>
          <w:rFonts w:ascii="Times New Roman" w:hAnsi="Times New Roman" w:cs="Times New Roman"/>
          <w:color w:val="000000"/>
        </w:rPr>
        <w:t xml:space="preserve"> Câmara Municipal</w:t>
      </w:r>
      <w:r w:rsidR="001004E3">
        <w:rPr>
          <w:rFonts w:ascii="Times New Roman" w:hAnsi="Times New Roman" w:cs="Times New Roman"/>
          <w:color w:val="000000"/>
        </w:rPr>
        <w:t xml:space="preserve"> e o exercício das funções de vereança, capacitando os mesmos nas funções legislativas. O curso abordará </w:t>
      </w:r>
      <w:r w:rsidR="00413138">
        <w:rPr>
          <w:rFonts w:ascii="Times New Roman" w:hAnsi="Times New Roman" w:cs="Times New Roman"/>
          <w:color w:val="000000"/>
        </w:rPr>
        <w:t xml:space="preserve">temas como </w:t>
      </w:r>
      <w:r w:rsidR="00413138" w:rsidRPr="00413138">
        <w:rPr>
          <w:rFonts w:ascii="Times New Roman" w:hAnsi="Times New Roman" w:cs="Times New Roman"/>
          <w:color w:val="000000"/>
        </w:rPr>
        <w:t>Autonomia e Competência do Município; Conceituação Jurídica do Município; Prerrogativas e Reponsabilidades dos Vereadores; Inviolabilidade por Opiniões, Palavras e Votos; Prisão Especial; Licença; Prerrogativas e Responsabilidades dos Vereadores; Remuneração</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Convocação de Suplentes; Proposituras e Apresentação de Pareceres; Atuação na Eleição da Mesa e Formação das Comissões; Participação no Julgamento das Contas Municipais; Responsabilidades Ético Parlamentares; Processo Ético Político de Perda do Mandato do Vereadores e Prefeitos</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Cidadania, Formas de Participação Popular e Município; Conselhos de Políticas Públicas e de Programas; Conselhos Gestores de Políticas, Sua História e Prática Contemporânea; O Vereador e o Orçamento Municipal (PPA, LDO E LOA); Prazos de Remessa ao Legislativo</w:t>
      </w:r>
      <w:r w:rsidR="00413138">
        <w:rPr>
          <w:rFonts w:ascii="Times New Roman" w:hAnsi="Times New Roman" w:cs="Times New Roman"/>
          <w:color w:val="000000"/>
        </w:rPr>
        <w:t>.</w:t>
      </w:r>
      <w:r w:rsidR="00413138" w:rsidRPr="00413138">
        <w:rPr>
          <w:rFonts w:ascii="Times New Roman" w:hAnsi="Times New Roman" w:cs="Times New Roman"/>
          <w:color w:val="000000"/>
        </w:rPr>
        <w:t> </w:t>
      </w:r>
    </w:p>
    <w:p w14:paraId="16B94E15" w14:textId="77777777" w:rsidR="00A74CEC" w:rsidRPr="00E30EF4" w:rsidRDefault="00A74CEC" w:rsidP="00A74CEC">
      <w:pPr>
        <w:shd w:val="clear" w:color="auto" w:fill="FFFFFF"/>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5DF5347F" w14:textId="77777777" w:rsidR="00A74CEC" w:rsidRPr="00E30EF4" w:rsidRDefault="00A74CEC" w:rsidP="00A74CEC">
      <w:pPr>
        <w:pStyle w:val="Default"/>
        <w:spacing w:before="120" w:after="120" w:line="360" w:lineRule="auto"/>
        <w:jc w:val="both"/>
      </w:pPr>
      <w:r w:rsidRPr="00E30EF4">
        <w:rPr>
          <w:rFonts w:eastAsia="Times New Roman"/>
          <w:b/>
          <w:bCs/>
          <w:lang w:eastAsia="pt-BR"/>
        </w:rPr>
        <w:lastRenderedPageBreak/>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5EDD3287" w14:textId="77777777" w:rsidR="00413138" w:rsidRDefault="00A74CEC" w:rsidP="00413138">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r w:rsidR="00413138">
        <w:rPr>
          <w:rFonts w:ascii="Times New Roman" w:hAnsi="Times New Roman" w:cs="Times New Roman"/>
          <w:color w:val="000000"/>
        </w:rPr>
        <w:t xml:space="preserve">. </w:t>
      </w:r>
    </w:p>
    <w:p w14:paraId="41EA6E3C" w14:textId="39E3450F" w:rsidR="00413138" w:rsidRPr="00413138" w:rsidRDefault="00413138" w:rsidP="00413138">
      <w:pPr>
        <w:shd w:val="clear" w:color="auto" w:fill="FFFFFF"/>
        <w:spacing w:before="120" w:after="120" w:line="360" w:lineRule="auto"/>
        <w:jc w:val="both"/>
        <w:rPr>
          <w:rFonts w:ascii="Times New Roman" w:hAnsi="Times New Roman" w:cs="Times New Roman"/>
          <w:i/>
          <w:iCs/>
          <w:color w:val="000000"/>
        </w:rPr>
      </w:pPr>
      <w:r w:rsidRPr="00413138">
        <w:rPr>
          <w:rFonts w:ascii="Times New Roman" w:hAnsi="Times New Roman" w:cs="Times New Roman"/>
          <w:color w:val="000000"/>
        </w:rPr>
        <w:t xml:space="preserve">O referente curso não está previsto no Plano de Contratações Anual de 2025, sendo a nova demanda justificável pelas seguintes razões: Não tem como se prever em qual data terá um curso </w:t>
      </w:r>
      <w:proofErr w:type="spellStart"/>
      <w:r w:rsidRPr="00413138">
        <w:rPr>
          <w:rFonts w:ascii="Times New Roman" w:hAnsi="Times New Roman" w:cs="Times New Roman"/>
          <w:color w:val="000000"/>
        </w:rPr>
        <w:t>capacitante</w:t>
      </w:r>
      <w:proofErr w:type="spellEnd"/>
      <w:r w:rsidRPr="00413138">
        <w:rPr>
          <w:rFonts w:ascii="Times New Roman" w:hAnsi="Times New Roman" w:cs="Times New Roman"/>
          <w:color w:val="000000"/>
        </w:rPr>
        <w:t xml:space="preserve"> e que seja interessante para o servidor e para a Câmara Municipal.</w:t>
      </w:r>
    </w:p>
    <w:p w14:paraId="22EBE72C" w14:textId="5993D19B" w:rsidR="00A74CEC" w:rsidRPr="00E30EF4" w:rsidRDefault="00A74CEC" w:rsidP="00A74CEC">
      <w:pPr>
        <w:shd w:val="clear" w:color="auto" w:fill="FFFFFF"/>
        <w:spacing w:before="120" w:after="120" w:line="360" w:lineRule="auto"/>
        <w:jc w:val="both"/>
        <w:rPr>
          <w:rFonts w:ascii="Times New Roman" w:hAnsi="Times New Roman" w:cs="Times New Roman"/>
          <w:color w:val="000000"/>
        </w:rPr>
      </w:pPr>
    </w:p>
    <w:p w14:paraId="240D3644" w14:textId="77777777" w:rsidR="00A74CEC" w:rsidRPr="00E30EF4" w:rsidRDefault="00A74CEC" w:rsidP="00A74CEC">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29E79D0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357F0216"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647FCDD9" w14:textId="77777777" w:rsidR="00A74CEC" w:rsidRPr="00D343E2" w:rsidRDefault="00A74CEC" w:rsidP="00A74CEC">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1608DF18" w14:textId="77777777" w:rsidR="00A74CEC" w:rsidRPr="00D343E2" w:rsidRDefault="00A74CEC" w:rsidP="00A74CEC">
      <w:pPr>
        <w:spacing w:before="120" w:after="120" w:line="360" w:lineRule="auto"/>
        <w:jc w:val="both"/>
        <w:rPr>
          <w:rFonts w:ascii="Times New Roman" w:hAnsi="Times New Roman" w:cs="Times New Roman"/>
          <w:i/>
          <w:iCs/>
          <w:color w:val="0070C0"/>
        </w:rPr>
      </w:pPr>
    </w:p>
    <w:p w14:paraId="6D63465A"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148ED219"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461ED60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2805DFA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lastRenderedPageBreak/>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0461CEFB"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374E2756"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4C47D1E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A4C6594"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D343E2">
        <w:rPr>
          <w:rFonts w:ascii="Times New Roman" w:hAnsi="Times New Roman" w:cs="Times New Roman"/>
          <w:i/>
          <w:iCs/>
          <w:color w:val="0070C0"/>
        </w:rPr>
        <w:t>esta</w:t>
      </w:r>
      <w:proofErr w:type="spellEnd"/>
      <w:r w:rsidRPr="00D343E2">
        <w:rPr>
          <w:rFonts w:ascii="Times New Roman" w:hAnsi="Times New Roman" w:cs="Times New Roman"/>
          <w:i/>
          <w:iCs/>
          <w:color w:val="0070C0"/>
        </w:rPr>
        <w:t xml:space="preserve"> incluída na descrição dos serviços técnicos especializados previstos pela legislação.</w:t>
      </w:r>
    </w:p>
    <w:p w14:paraId="5FE1D6B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33D20E52" w14:textId="10A1293C" w:rsidR="00666FD7" w:rsidRPr="00277CC6" w:rsidRDefault="00A74CEC" w:rsidP="00413138">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6C3C"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612º CURSO SOBRE A INTRODUÇÃO AO MANDATO LEGISLATIVO </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MÓDULO II: AUTONOMIA E COMPETÊNCIA DO MUNICÍPIO, PRERROGATIVAS E REPONSABILIDADES DOS VEREADORES</w:t>
      </w:r>
      <w:r w:rsidR="00F96C3C"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07FF73" w14:textId="7D2ACE95"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453BD187" w14:textId="7C0BBAFF" w:rsidR="00BC6F60"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C6F60"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Demonstração que a contratação de profissional ou empresa com notória especialização é imprescindível à plena satisfação do objeto contratado</w:t>
      </w:r>
    </w:p>
    <w:p w14:paraId="3DE7B580" w14:textId="2025E2C4"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0B02777" w14:textId="3D70F98F"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78C5ADA8" w14:textId="6B93042C"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0"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0"/>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60E31EE7" w14:textId="34E18198" w:rsidR="00CF50AF" w:rsidRPr="00220D18" w:rsidRDefault="00CF50AF" w:rsidP="00CF50AF">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5230129"/>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Vereador, a fim de que ele possa desempenhar suas atividades com maior qualidade e acuidade, principalmente no que concerne a assuntos relacionados à Câmara Municipal e a fiscalização do Poder Executivo, capacitando</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 tais </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funções legislativas. O curso</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apresentará</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aspectos</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introdutórios</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sobre o mandato legislativo, autonomia e competências do Município, e também prerrogativas e responsabilidades dos Vereadores.</w:t>
      </w:r>
    </w:p>
    <w:bookmarkEnd w:id="1"/>
    <w:p w14:paraId="53EB38CA" w14:textId="40DEE55B"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Nesse sentido, é possível inferir que a contratação aqui aduzida é fundamental e crucial para o atendimento dos interesses do órgão, haja vista que </w:t>
      </w:r>
      <w:bookmarkStart w:id="2" w:name="_Hlk175229723"/>
      <w:r w:rsidR="00A13B4E"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guarda evidente relação com os conhecimentos necessários ao agente público para o desempenho de suas funções. Nesse sentido, o</w:t>
      </w: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servidores e vereadores devem ser capacitados continuamente para o regular exercício de suas atribuições, notadamente porque as atividades desempenhadas pelos agentes públicos estão sujeitas à constante atualização procedimental e de conteúdo. </w:t>
      </w:r>
    </w:p>
    <w:bookmarkEnd w:id="2"/>
    <w:p w14:paraId="245328D0" w14:textId="4F811391" w:rsidR="006255FB" w:rsidRPr="007F4FB7" w:rsidRDefault="004A53E0" w:rsidP="00BC6F60">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255FB"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Notória especialização para escolha do fornecedor</w:t>
      </w:r>
    </w:p>
    <w:p w14:paraId="58B3CDF1" w14:textId="76ED9AEF"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requisito da atividade da pessoa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permitir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inferir que o trabalho é essencial e reconhecidamente o mais adequado à plena satisfação do objeto do contrato. </w:t>
      </w:r>
    </w:p>
    <w:p w14:paraId="7BA549BE" w14:textId="4CC4BC20"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649A4134" w14:textId="5882B151" w:rsidR="00C12735"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30B92B8" w14:textId="74DD9F63" w:rsidR="00C12735" w:rsidRPr="00220D18" w:rsidRDefault="00C12735"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caso concreto, é difícil estabelecer padrões adequados de competição para escolher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maneira isenta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 diferentes professores ou cursos, tornando-se complicado comparar a capacidade intelectual oferecida por cada pessoa física ou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w:t>
      </w:r>
      <w:r w:rsidR="0014798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senão vejamos:</w:t>
      </w:r>
    </w:p>
    <w:p w14:paraId="1384A48C" w14:textId="12964C02" w:rsidR="00147987" w:rsidRPr="00220D18" w:rsidRDefault="00147987" w:rsidP="00147987">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16ED55F6" w14:textId="77777777" w:rsidR="00147987" w:rsidRPr="00220D18" w:rsidRDefault="00147987"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2AE7F6FA" w14:textId="279CF958" w:rsidR="00C12735" w:rsidRPr="003B2204" w:rsidRDefault="00C12735" w:rsidP="000975BA">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sidR="0051205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INSTITUTO GLOBAL DE ADMINISTRACAO PUBLICA LTDA</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5C64">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C42D4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3138" w:rsidRPr="00413138">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Eder Lima Palma e Dr. Christiano Gonzaga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dá por meio de uma decisão estratégica para atender as necessidades apontadas pelo demandante</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escolha do</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cronograma do curso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do currículo </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D68969" w14:textId="33BA33B9" w:rsidR="006255FB" w:rsidRPr="00B25C18" w:rsidRDefault="00413138" w:rsidP="00B25C18">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currículo apresentado, o professor Dr. Eder Lima Palma </w:t>
      </w:r>
      <w:bookmarkStart w:id="4" w:name="_Hlk175230067"/>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w:t>
      </w:r>
      <w:bookmarkEnd w:id="4"/>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Advogado, Graduado em Direito pela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Unisepe</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 Já o Dr. Christiano Gonzaga é Professor de Direito Penal na Faculdade de Direito Milton Campos nos cursos de graduação e pós-graduação. Professor em cursos preparatórios para ingresso em carreira jurídica. Mestre em Direito.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Ex-Defensor</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Público do Estado de Minas Gerais. Atualmente, é Promotor de Justiça do Estado de Minas Gerais com atuação na área criminal.</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1B8648" w14:textId="4E8637A1" w:rsidR="00CB49E6"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Natureza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ingular do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bjeto a ser contratado.  </w:t>
      </w:r>
    </w:p>
    <w:p w14:paraId="19955978" w14:textId="2ABE8EA0" w:rsidR="00CB49E6"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1E63A566" w14:textId="42F1F104" w:rsidR="00FA469D"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w:t>
      </w:r>
      <w:r w:rsidR="009F0142"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notória especialização e o serviço singular objeto do procedimento. </w:t>
      </w:r>
    </w:p>
    <w:p w14:paraId="6B7FF3F6" w14:textId="4D4D6399"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2F797D6A" w14:textId="785D5CF2"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7B4F582A" w14:textId="47536C05"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serviços de docência para os fins das ações educacionais pretendidas, devem ser caracterizados, via de regra, como singulares, uma vez que não se tratam de atuações padronizadas e, com isso, comparáveis entre si. Pelo contrário, ministrar uma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seguinte ensinamento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133721" w14:textId="720A38FA" w:rsidR="009F0142" w:rsidRPr="00220D18" w:rsidRDefault="009F0142" w:rsidP="00731E9D">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w:t>
      </w:r>
      <w:r w:rsidR="00D27D86"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(CHAVES, Luiz Cláudio de Azevedo. Contratação de serviços de treinamento e aperfeiçoamento de pessoal na administração pública: caso de licitação, dispensa ou inexigibilidade</w:t>
      </w:r>
      <w:proofErr w:type="gramStart"/>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(grifei)</w:t>
      </w:r>
    </w:p>
    <w:p w14:paraId="5AD83D43" w14:textId="77777777" w:rsidR="00FA469D" w:rsidRPr="00220D18" w:rsidRDefault="00FA469D"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60C60" w14:textId="34CA1647" w:rsidR="00D27D86" w:rsidRPr="00220D18" w:rsidRDefault="00D27D86"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7CEE557D" w14:textId="694BF228" w:rsidR="00D27D86" w:rsidRPr="00220D18" w:rsidRDefault="00D27D86" w:rsidP="00D27D86">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(grifei)</w:t>
      </w:r>
    </w:p>
    <w:p w14:paraId="4C1BE2E1" w14:textId="77777777" w:rsidR="00D27D86" w:rsidRPr="00220D18" w:rsidRDefault="00D27D86"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542A3" w14:textId="430A22A2" w:rsidR="00960C3F" w:rsidRPr="00220D18" w:rsidRDefault="00D27D86" w:rsidP="00960C3F">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licitatória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0C3F"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Além disso, é possível concluir pela possibilidade de contratação por meio da inexigibilidade de licitação prevista no art. 74, III, “f”, da Lei nº 14.133/21. </w:t>
      </w:r>
    </w:p>
    <w:p w14:paraId="49E81E88"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68E834B9"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64F76DC" w14:textId="6571C090"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termo de documento de formalização de demanda foi requerida a inscrição de curso para apenas um </w:t>
      </w:r>
      <w:r w:rsidR="005B1497">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servidor</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Portanto o quantitativo é de apenas uma unidade de inscrição de curso.</w:t>
      </w:r>
    </w:p>
    <w:bookmarkEnd w:id="7"/>
    <w:p w14:paraId="711D8E8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15F2881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1FFA405B"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6B3AB45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46252B45"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24521856"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Pode se verificar neste procedimento, que pelas Notas Fiscais apresentadas da empresa a ser contratada, que o valor apresentado está dentro da média do valor cobrado por ela.</w:t>
      </w:r>
    </w:p>
    <w:bookmarkEnd w:id="9"/>
    <w:p w14:paraId="7F7E285C"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25DF4E7B" w14:textId="58D5C11E"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114DAB8B" w14:textId="3B76312B"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ECEFD74" w14:textId="7B6107A7"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604443F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35F0151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77885CF8"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1"/>
    <w:p w14:paraId="31185B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0E83B9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19EF90DF"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2BB059BF"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276FC5F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EBBF953"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74E2CA70"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3B7D1C6E"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632DCBA2"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4"/>
    <w:p w14:paraId="44D178BC"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33118EB4"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4749897E"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5EDD57E0"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6C81208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30C93043"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7F8369A4" w14:textId="28166CD0" w:rsidR="005B1497" w:rsidRPr="00512059" w:rsidRDefault="00C03DCC" w:rsidP="00E30EF4">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
      <w:proofErr w:type="gramEnd"/>
    </w:p>
    <w:p w14:paraId="7A8729B6" w14:textId="3FBE3852"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p>
    <w:p w14:paraId="1DC1E106" w14:textId="6A53E791" w:rsidR="003B2204" w:rsidRPr="00B25C18" w:rsidRDefault="00B25C18" w:rsidP="00C03DCC">
      <w:pPr>
        <w:spacing w:before="120" w:after="120" w:line="36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3FF19916" w14:textId="0A32482E" w:rsidR="00C03DCC" w:rsidRPr="00220D18" w:rsidRDefault="00C03DCC" w:rsidP="003B2204">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3B220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fever</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eiro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09E3E80" w14:textId="77777777" w:rsidR="00C03DCC" w:rsidRPr="00220D18" w:rsidRDefault="00C03DCC" w:rsidP="00C03DCC">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6D297" w14:textId="77777777" w:rsidR="00B25C18" w:rsidRPr="00B25C18" w:rsidRDefault="00B25C18" w:rsidP="00B25C18">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2DD4594D" w14:textId="00A8A731" w:rsidR="0058625C" w:rsidRPr="00220D18" w:rsidRDefault="00C03DCC" w:rsidP="00C03DCC">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Chefe do Setor de Compras e Licitações</w:t>
      </w:r>
      <w:bookmarkEnd w:id="17"/>
    </w:p>
    <w:sectPr w:rsidR="0058625C" w:rsidRPr="00220D1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FDA0" w14:textId="77777777" w:rsidR="001310DA" w:rsidRDefault="001310DA" w:rsidP="0077535B">
      <w:r>
        <w:separator/>
      </w:r>
    </w:p>
  </w:endnote>
  <w:endnote w:type="continuationSeparator" w:id="0">
    <w:p w14:paraId="5529AB2C" w14:textId="77777777" w:rsidR="001310DA" w:rsidRDefault="001310DA" w:rsidP="0077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DFB1" w14:textId="77777777" w:rsidR="00206403" w:rsidRPr="00D24B5A" w:rsidRDefault="00206403" w:rsidP="00206403">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3247731A" w14:textId="77777777" w:rsidR="00206403" w:rsidRPr="00D3281E" w:rsidRDefault="00206403" w:rsidP="00206403">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7CED5A8D" w14:textId="77777777" w:rsidR="00206403" w:rsidRDefault="002064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937B" w14:textId="77777777" w:rsidR="001310DA" w:rsidRDefault="001310DA" w:rsidP="0077535B">
      <w:r>
        <w:separator/>
      </w:r>
    </w:p>
  </w:footnote>
  <w:footnote w:type="continuationSeparator" w:id="0">
    <w:p w14:paraId="5A937528" w14:textId="77777777" w:rsidR="001310DA" w:rsidRDefault="001310DA" w:rsidP="0077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574" w14:textId="77777777" w:rsidR="00206403" w:rsidRDefault="00206403" w:rsidP="00206403">
    <w:pPr>
      <w:pStyle w:val="Cabealho"/>
    </w:pPr>
    <w:r>
      <w:rPr>
        <w:noProof/>
      </w:rPr>
      <w:drawing>
        <wp:anchor distT="0" distB="0" distL="114300" distR="114300" simplePos="0" relativeHeight="251659264" behindDoc="1" locked="0" layoutInCell="1" allowOverlap="1" wp14:anchorId="22D7F1C8" wp14:editId="51634379">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3000C" w14:textId="77777777" w:rsidR="00206403" w:rsidRPr="00D3281E" w:rsidRDefault="00206403" w:rsidP="00206403">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6D459E54" w14:textId="77777777" w:rsidR="00206403" w:rsidRPr="00D24B5A" w:rsidRDefault="00206403" w:rsidP="00206403">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34E04A8C" w14:textId="77777777" w:rsidR="00206403" w:rsidRDefault="002064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F72E7"/>
    <w:rsid w:val="001004E3"/>
    <w:rsid w:val="001310DA"/>
    <w:rsid w:val="00147987"/>
    <w:rsid w:val="00153DBA"/>
    <w:rsid w:val="00206403"/>
    <w:rsid w:val="00220D18"/>
    <w:rsid w:val="00277CC6"/>
    <w:rsid w:val="002A4734"/>
    <w:rsid w:val="002C2F8E"/>
    <w:rsid w:val="003136C3"/>
    <w:rsid w:val="003413DC"/>
    <w:rsid w:val="003662CD"/>
    <w:rsid w:val="00392C59"/>
    <w:rsid w:val="003A66B0"/>
    <w:rsid w:val="003B2204"/>
    <w:rsid w:val="00407D03"/>
    <w:rsid w:val="00413138"/>
    <w:rsid w:val="00426A37"/>
    <w:rsid w:val="00471C3B"/>
    <w:rsid w:val="004A53E0"/>
    <w:rsid w:val="00511B5F"/>
    <w:rsid w:val="00512059"/>
    <w:rsid w:val="00533F87"/>
    <w:rsid w:val="0058625C"/>
    <w:rsid w:val="005B1497"/>
    <w:rsid w:val="005E2859"/>
    <w:rsid w:val="006255FB"/>
    <w:rsid w:val="00666FD7"/>
    <w:rsid w:val="006A40AF"/>
    <w:rsid w:val="006D2EC5"/>
    <w:rsid w:val="006F3E47"/>
    <w:rsid w:val="00714963"/>
    <w:rsid w:val="00726D19"/>
    <w:rsid w:val="00731E9D"/>
    <w:rsid w:val="007351F6"/>
    <w:rsid w:val="00765D26"/>
    <w:rsid w:val="00774431"/>
    <w:rsid w:val="0077535B"/>
    <w:rsid w:val="00785ABC"/>
    <w:rsid w:val="00787672"/>
    <w:rsid w:val="007C176B"/>
    <w:rsid w:val="007F4FB7"/>
    <w:rsid w:val="00895C64"/>
    <w:rsid w:val="008E6AD4"/>
    <w:rsid w:val="00960C3F"/>
    <w:rsid w:val="00985C7E"/>
    <w:rsid w:val="009A4A36"/>
    <w:rsid w:val="009D4CC7"/>
    <w:rsid w:val="009F0142"/>
    <w:rsid w:val="00A01C11"/>
    <w:rsid w:val="00A13B4E"/>
    <w:rsid w:val="00A74CEC"/>
    <w:rsid w:val="00B25C18"/>
    <w:rsid w:val="00BC6F60"/>
    <w:rsid w:val="00BE6BBE"/>
    <w:rsid w:val="00C03DCC"/>
    <w:rsid w:val="00C12735"/>
    <w:rsid w:val="00C24A8C"/>
    <w:rsid w:val="00C42D47"/>
    <w:rsid w:val="00C621B7"/>
    <w:rsid w:val="00CB49E6"/>
    <w:rsid w:val="00CE0368"/>
    <w:rsid w:val="00CF50AF"/>
    <w:rsid w:val="00D27D86"/>
    <w:rsid w:val="00D343E2"/>
    <w:rsid w:val="00D63822"/>
    <w:rsid w:val="00D6522B"/>
    <w:rsid w:val="00DB7BDC"/>
    <w:rsid w:val="00E01C1B"/>
    <w:rsid w:val="00E13158"/>
    <w:rsid w:val="00E30EF4"/>
    <w:rsid w:val="00E829FF"/>
    <w:rsid w:val="00EA132A"/>
    <w:rsid w:val="00F36E92"/>
    <w:rsid w:val="00F5448F"/>
    <w:rsid w:val="00F96C3C"/>
    <w:rsid w:val="00FA4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77535B"/>
    <w:pPr>
      <w:tabs>
        <w:tab w:val="center" w:pos="4252"/>
        <w:tab w:val="right" w:pos="8504"/>
      </w:tabs>
    </w:pPr>
  </w:style>
  <w:style w:type="character" w:customStyle="1" w:styleId="CabealhoChar">
    <w:name w:val="Cabeçalho Char"/>
    <w:basedOn w:val="Fontepargpadro"/>
    <w:link w:val="Cabealho"/>
    <w:uiPriority w:val="99"/>
    <w:rsid w:val="0077535B"/>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77535B"/>
    <w:pPr>
      <w:tabs>
        <w:tab w:val="center" w:pos="4252"/>
        <w:tab w:val="right" w:pos="8504"/>
      </w:tabs>
    </w:pPr>
  </w:style>
  <w:style w:type="character" w:customStyle="1" w:styleId="RodapChar">
    <w:name w:val="Rodapé Char"/>
    <w:basedOn w:val="Fontepargpadro"/>
    <w:link w:val="Rodap"/>
    <w:uiPriority w:val="99"/>
    <w:rsid w:val="0077535B"/>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20640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570384115">
      <w:bodyDiv w:val="1"/>
      <w:marLeft w:val="0"/>
      <w:marRight w:val="0"/>
      <w:marTop w:val="0"/>
      <w:marBottom w:val="0"/>
      <w:divBdr>
        <w:top w:val="none" w:sz="0" w:space="0" w:color="auto"/>
        <w:left w:val="none" w:sz="0" w:space="0" w:color="auto"/>
        <w:bottom w:val="none" w:sz="0" w:space="0" w:color="auto"/>
        <w:right w:val="none" w:sz="0" w:space="0" w:color="auto"/>
      </w:divBdr>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928007748">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4323</Words>
  <Characters>23346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3</cp:revision>
  <cp:lastPrinted>2025-02-06T16:32:00Z</cp:lastPrinted>
  <dcterms:created xsi:type="dcterms:W3CDTF">2025-02-07T19:35:00Z</dcterms:created>
  <dcterms:modified xsi:type="dcterms:W3CDTF">2025-02-07T19:48:00Z</dcterms:modified>
</cp:coreProperties>
</file>