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F731" w14:textId="77777777" w:rsidR="00A74CEC" w:rsidRPr="00E30EF4" w:rsidRDefault="00A74CEC" w:rsidP="00A74CEC">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E30EF4">
        <w:rPr>
          <w:rFonts w:ascii="Times New Roman" w:hAnsi="Times New Roman" w:cs="Times New Roman"/>
          <w:bCs/>
        </w:rPr>
        <w:t>ESTUDO TÉCNICO PRELIMINAR</w:t>
      </w:r>
    </w:p>
    <w:p w14:paraId="2F29F88E" w14:textId="77777777" w:rsidR="00A74CEC" w:rsidRPr="00E30EF4" w:rsidRDefault="00A74CEC" w:rsidP="00A74CEC">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E30EF4">
        <w:rPr>
          <w:rFonts w:ascii="Times New Roman" w:hAnsi="Times New Roman" w:cs="Times New Roman"/>
          <w:bCs/>
        </w:rPr>
        <w:t>CONTRATAÇÃO DE TREINAMENTO E APERFEIÇOAMENTO DE PESSOAL</w:t>
      </w:r>
    </w:p>
    <w:p w14:paraId="78312CAF" w14:textId="77777777" w:rsidR="00A74CEC" w:rsidRPr="00E30EF4" w:rsidRDefault="00A74CEC" w:rsidP="00A74CEC">
      <w:pPr>
        <w:spacing w:line="360" w:lineRule="auto"/>
        <w:jc w:val="both"/>
        <w:rPr>
          <w:rFonts w:ascii="Times New Roman" w:hAnsi="Times New Roman" w:cs="Times New Roman"/>
        </w:rPr>
      </w:pPr>
    </w:p>
    <w:p w14:paraId="118C3242" w14:textId="77777777" w:rsidR="00A74CEC" w:rsidRPr="00E30EF4" w:rsidRDefault="00A74CEC" w:rsidP="00A74CEC">
      <w:pPr>
        <w:spacing w:before="120" w:after="120" w:line="360" w:lineRule="auto"/>
        <w:jc w:val="both"/>
        <w:rPr>
          <w:rFonts w:ascii="Times New Roman" w:hAnsi="Times New Roman" w:cs="Times New Roman"/>
          <w:b/>
        </w:rPr>
      </w:pPr>
      <w:r w:rsidRPr="00E30EF4">
        <w:rPr>
          <w:rFonts w:ascii="Times New Roman" w:hAnsi="Times New Roman" w:cs="Times New Roman"/>
          <w:b/>
        </w:rPr>
        <w:t>INTRODUÇÃO</w:t>
      </w:r>
    </w:p>
    <w:p w14:paraId="4A70CB0B" w14:textId="77777777" w:rsidR="00A74CEC" w:rsidRPr="00E30EF4" w:rsidRDefault="00A74CEC" w:rsidP="00A74CEC">
      <w:pPr>
        <w:spacing w:before="120" w:after="120" w:line="360" w:lineRule="auto"/>
        <w:ind w:firstLine="851"/>
        <w:jc w:val="both"/>
        <w:rPr>
          <w:rFonts w:ascii="Times New Roman" w:hAnsi="Times New Roman" w:cs="Times New Roman"/>
        </w:rPr>
      </w:pPr>
      <w:r w:rsidRPr="00E30EF4">
        <w:rPr>
          <w:rFonts w:ascii="Times New Roman" w:hAnsi="Times New Roman" w:cs="Times New Roman"/>
        </w:rPr>
        <w:t>O presente documento caracteriza a primeira etapa da fase de planejamento e apresenta os devidos estudos para a contratação de solução que atenderá à necessidade abaixo especificada.</w:t>
      </w:r>
    </w:p>
    <w:p w14:paraId="642A4042" w14:textId="77777777" w:rsidR="00A74CEC" w:rsidRPr="00E30EF4" w:rsidRDefault="00A74CEC" w:rsidP="00A74CEC">
      <w:pPr>
        <w:spacing w:before="120" w:after="120" w:line="360" w:lineRule="auto"/>
        <w:ind w:firstLine="851"/>
        <w:jc w:val="both"/>
        <w:rPr>
          <w:rFonts w:ascii="Times New Roman" w:hAnsi="Times New Roman" w:cs="Times New Roman"/>
        </w:rPr>
      </w:pPr>
      <w:r w:rsidRPr="00E30EF4">
        <w:rPr>
          <w:rFonts w:ascii="Times New Roman" w:hAnsi="Times New Roman" w:cs="Times New Roman"/>
        </w:rPr>
        <w:t>O objetivo principal é estudar detalhadamente a necessidade e identificar no mercado a melhor solução para supri-la, em observância às normas vigentes e aos princípios que regem a Administração Pública.</w:t>
      </w:r>
    </w:p>
    <w:p w14:paraId="43F006F5" w14:textId="77777777" w:rsidR="00A74CEC" w:rsidRPr="00E30EF4" w:rsidRDefault="00A74CEC" w:rsidP="00A74CEC">
      <w:pPr>
        <w:spacing w:before="120" w:after="120" w:line="360" w:lineRule="auto"/>
        <w:jc w:val="both"/>
        <w:rPr>
          <w:rFonts w:ascii="Times New Roman" w:hAnsi="Times New Roman" w:cs="Times New Roman"/>
          <w:b/>
          <w:bCs/>
          <w:color w:val="000000"/>
        </w:rPr>
      </w:pPr>
    </w:p>
    <w:p w14:paraId="6A47BCD1" w14:textId="77777777" w:rsidR="00A74CEC" w:rsidRPr="00E30EF4" w:rsidRDefault="00A74CEC" w:rsidP="00A74CEC">
      <w:pPr>
        <w:spacing w:before="120" w:after="120" w:line="360" w:lineRule="auto"/>
        <w:jc w:val="both"/>
        <w:rPr>
          <w:rFonts w:ascii="Times New Roman" w:hAnsi="Times New Roman" w:cs="Times New Roman"/>
        </w:rPr>
      </w:pPr>
      <w:r w:rsidRPr="00E30EF4">
        <w:rPr>
          <w:rFonts w:ascii="Times New Roman" w:hAnsi="Times New Roman" w:cs="Times New Roman"/>
          <w:b/>
        </w:rPr>
        <w:t>1 - DESCRIÇÃO DA NECESSIDADE</w:t>
      </w:r>
    </w:p>
    <w:p w14:paraId="5D2399A2" w14:textId="77777777" w:rsidR="00A74CEC" w:rsidRDefault="00A74CEC" w:rsidP="00A74CEC">
      <w:pPr>
        <w:spacing w:before="120" w:after="120" w:line="360" w:lineRule="auto"/>
        <w:jc w:val="both"/>
        <w:rPr>
          <w:rFonts w:ascii="Times New Roman" w:hAnsi="Times New Roman" w:cs="Times New Roman"/>
          <w:color w:val="000000"/>
        </w:rPr>
      </w:pPr>
      <w:r w:rsidRPr="00E30EF4">
        <w:rPr>
          <w:rFonts w:ascii="Times New Roman" w:hAnsi="Times New Roman" w:cs="Times New Roman"/>
          <w:b/>
          <w:bCs/>
          <w:color w:val="000000"/>
        </w:rPr>
        <w:t xml:space="preserve">Fundamentação: </w:t>
      </w:r>
      <w:r w:rsidRPr="00E30EF4">
        <w:rPr>
          <w:rFonts w:ascii="Times New Roman" w:hAnsi="Times New Roman" w:cs="Times New Roman"/>
          <w:color w:val="000000"/>
        </w:rPr>
        <w:t>Descrição da necessidade da contratação, considerado o problema a ser resolvido sob a perspectiva do interesse público. (inciso I do § 1° do art. 18 da Lei 14.133/2021)</w:t>
      </w:r>
    </w:p>
    <w:p w14:paraId="6C535F7E" w14:textId="622E39E3" w:rsidR="00E829FF" w:rsidRPr="00E829FF" w:rsidRDefault="00A74CEC" w:rsidP="00A74CEC">
      <w:pPr>
        <w:spacing w:before="120" w:after="120" w:line="360" w:lineRule="auto"/>
        <w:jc w:val="both"/>
        <w:rPr>
          <w:rFonts w:ascii="Times New Roman" w:hAnsi="Times New Roman" w:cs="Times New Roman"/>
        </w:rPr>
      </w:pPr>
      <w:r>
        <w:rPr>
          <w:rFonts w:ascii="Times New Roman" w:hAnsi="Times New Roman" w:cs="Times New Roman"/>
          <w:color w:val="000000"/>
        </w:rPr>
        <w:t xml:space="preserve">O curso em questão tem como finalidade capacitar </w:t>
      </w:r>
      <w:r w:rsidR="00853DB6">
        <w:rPr>
          <w:rFonts w:ascii="Times New Roman" w:hAnsi="Times New Roman" w:cs="Times New Roman"/>
          <w:color w:val="000000"/>
        </w:rPr>
        <w:t>a</w:t>
      </w:r>
      <w:r>
        <w:rPr>
          <w:rFonts w:ascii="Times New Roman" w:hAnsi="Times New Roman" w:cs="Times New Roman"/>
          <w:color w:val="000000"/>
        </w:rPr>
        <w:t xml:space="preserve"> </w:t>
      </w:r>
      <w:r w:rsidR="001004E3">
        <w:rPr>
          <w:rFonts w:ascii="Times New Roman" w:hAnsi="Times New Roman" w:cs="Times New Roman"/>
          <w:color w:val="000000"/>
        </w:rPr>
        <w:t>Vereador</w:t>
      </w:r>
      <w:r w:rsidR="00853DB6">
        <w:rPr>
          <w:rFonts w:ascii="Times New Roman" w:hAnsi="Times New Roman" w:cs="Times New Roman"/>
          <w:color w:val="000000"/>
        </w:rPr>
        <w:t>a</w:t>
      </w:r>
      <w:r w:rsidR="00206403">
        <w:rPr>
          <w:rFonts w:ascii="Times New Roman" w:hAnsi="Times New Roman" w:cs="Times New Roman"/>
          <w:color w:val="000000"/>
        </w:rPr>
        <w:t xml:space="preserve"> </w:t>
      </w:r>
      <w:r w:rsidR="00853DB6">
        <w:rPr>
          <w:rFonts w:ascii="Times New Roman" w:hAnsi="Times New Roman" w:cs="Times New Roman"/>
          <w:color w:val="000000"/>
        </w:rPr>
        <w:t>Adriana Fátima de Paula Magalhães</w:t>
      </w:r>
      <w:r>
        <w:rPr>
          <w:rFonts w:ascii="Times New Roman" w:hAnsi="Times New Roman" w:cs="Times New Roman"/>
          <w:color w:val="000000"/>
        </w:rPr>
        <w:t>, a fim de que el</w:t>
      </w:r>
      <w:r w:rsidR="001004E3">
        <w:rPr>
          <w:rFonts w:ascii="Times New Roman" w:hAnsi="Times New Roman" w:cs="Times New Roman"/>
          <w:color w:val="000000"/>
        </w:rPr>
        <w:t>e</w:t>
      </w:r>
      <w:r>
        <w:rPr>
          <w:rFonts w:ascii="Times New Roman" w:hAnsi="Times New Roman" w:cs="Times New Roman"/>
          <w:color w:val="000000"/>
        </w:rPr>
        <w:t xml:space="preserve"> possa desempenhar suas atividades com maior qualidade e acuidade, principalmente no que concerne </w:t>
      </w:r>
      <w:r w:rsidR="000975BA">
        <w:rPr>
          <w:rFonts w:ascii="Times New Roman" w:hAnsi="Times New Roman" w:cs="Times New Roman"/>
          <w:color w:val="000000"/>
        </w:rPr>
        <w:t>a assuntos relacionados à</w:t>
      </w:r>
      <w:r w:rsidR="00512059">
        <w:rPr>
          <w:rFonts w:ascii="Times New Roman" w:hAnsi="Times New Roman" w:cs="Times New Roman"/>
          <w:color w:val="000000"/>
        </w:rPr>
        <w:t xml:space="preserve"> Câmara Municipal</w:t>
      </w:r>
      <w:r w:rsidR="001004E3">
        <w:rPr>
          <w:rFonts w:ascii="Times New Roman" w:hAnsi="Times New Roman" w:cs="Times New Roman"/>
          <w:color w:val="000000"/>
        </w:rPr>
        <w:t xml:space="preserve"> e o exercício das funções de vereança, capacitando os mesmos nas funções legislativas. O curso abordará </w:t>
      </w:r>
      <w:r w:rsidR="00413138">
        <w:rPr>
          <w:rFonts w:ascii="Times New Roman" w:hAnsi="Times New Roman" w:cs="Times New Roman"/>
          <w:color w:val="000000"/>
        </w:rPr>
        <w:t xml:space="preserve">temas como </w:t>
      </w:r>
      <w:r w:rsidR="00413138" w:rsidRPr="00413138">
        <w:rPr>
          <w:rFonts w:ascii="Times New Roman" w:hAnsi="Times New Roman" w:cs="Times New Roman"/>
          <w:color w:val="000000"/>
        </w:rPr>
        <w:t>Autonomia e Competência do Município; Conceituação Jurídica do Município; Prerrogativas e Reponsabilidades dos Vereadores; Inviolabilidade por Opiniões, Palavras e Votos; Prisão Especial; Licença; Prerrogativas e Responsabilidades dos Vereadores; Remuneração</w:t>
      </w:r>
      <w:r w:rsidR="00413138">
        <w:rPr>
          <w:rFonts w:ascii="Times New Roman" w:hAnsi="Times New Roman" w:cs="Times New Roman"/>
          <w:color w:val="000000"/>
        </w:rPr>
        <w:t xml:space="preserve">; </w:t>
      </w:r>
      <w:r w:rsidR="00413138" w:rsidRPr="00413138">
        <w:rPr>
          <w:rFonts w:ascii="Times New Roman" w:hAnsi="Times New Roman" w:cs="Times New Roman"/>
          <w:color w:val="000000"/>
        </w:rPr>
        <w:t>Convocação de Suplentes; Proposituras e Apresentação de Pareceres; Atuação na Eleição da Mesa e Formação das Comissões; Participação no Julgamento das Contas Municipais; Responsabilidades Ético Parlamentares; Processo Ético Político de Perda do Mandato do Vereadores e Prefeitos</w:t>
      </w:r>
      <w:r w:rsidR="00413138">
        <w:rPr>
          <w:rFonts w:ascii="Times New Roman" w:hAnsi="Times New Roman" w:cs="Times New Roman"/>
          <w:color w:val="000000"/>
        </w:rPr>
        <w:t xml:space="preserve">; </w:t>
      </w:r>
      <w:r w:rsidR="00413138" w:rsidRPr="00413138">
        <w:rPr>
          <w:rFonts w:ascii="Times New Roman" w:hAnsi="Times New Roman" w:cs="Times New Roman"/>
          <w:color w:val="000000"/>
        </w:rPr>
        <w:t>Cidadania, Formas de Participação Popular e Município; Conselhos de Políticas Públicas e de Programas; Conselhos Gestores de Políticas, Sua História e Prática Contemporânea; O Vereador e o Orçamento Municipal (PPA, LDO E LOA); Prazos de Remessa ao Legislativo</w:t>
      </w:r>
      <w:r w:rsidR="00413138">
        <w:rPr>
          <w:rFonts w:ascii="Times New Roman" w:hAnsi="Times New Roman" w:cs="Times New Roman"/>
          <w:color w:val="000000"/>
        </w:rPr>
        <w:t>.</w:t>
      </w:r>
      <w:r w:rsidR="00413138" w:rsidRPr="00413138">
        <w:rPr>
          <w:rFonts w:ascii="Times New Roman" w:hAnsi="Times New Roman" w:cs="Times New Roman"/>
          <w:color w:val="000000"/>
        </w:rPr>
        <w:t> </w:t>
      </w:r>
    </w:p>
    <w:p w14:paraId="16B94E15" w14:textId="77777777" w:rsidR="00A74CEC" w:rsidRPr="00E30EF4" w:rsidRDefault="00A74CEC" w:rsidP="00A74CEC">
      <w:pPr>
        <w:shd w:val="clear" w:color="auto" w:fill="FFFFFF"/>
        <w:spacing w:before="120" w:after="120" w:line="360" w:lineRule="auto"/>
        <w:jc w:val="both"/>
        <w:rPr>
          <w:rFonts w:ascii="Times New Roman" w:hAnsi="Times New Roman" w:cs="Times New Roman"/>
          <w:b/>
          <w:bCs/>
          <w:color w:val="000000"/>
        </w:rPr>
      </w:pPr>
      <w:r w:rsidRPr="00E30EF4">
        <w:rPr>
          <w:rFonts w:ascii="Times New Roman" w:hAnsi="Times New Roman" w:cs="Times New Roman"/>
          <w:b/>
          <w:bCs/>
          <w:color w:val="000000"/>
        </w:rPr>
        <w:t>2 – PREVISÃO NO PLANO DE CONTRATAÇÕES ANUAL</w:t>
      </w:r>
    </w:p>
    <w:p w14:paraId="5DF5347F" w14:textId="77777777" w:rsidR="00A74CEC" w:rsidRPr="00E30EF4" w:rsidRDefault="00A74CEC" w:rsidP="00A74CEC">
      <w:pPr>
        <w:pStyle w:val="Default"/>
        <w:spacing w:before="120" w:after="120" w:line="360" w:lineRule="auto"/>
        <w:jc w:val="both"/>
      </w:pPr>
      <w:r w:rsidRPr="00E30EF4">
        <w:rPr>
          <w:rFonts w:eastAsia="Times New Roman"/>
          <w:b/>
          <w:bCs/>
          <w:lang w:eastAsia="pt-BR"/>
        </w:rPr>
        <w:lastRenderedPageBreak/>
        <w:t xml:space="preserve">Fundamentação: </w:t>
      </w:r>
      <w:r w:rsidRPr="00E30EF4">
        <w:t xml:space="preserve">Demonstração da previsão da contratação no plano de contratações anual, sempre que elaborado, de modo a indicar o seu alinhamento com o planejamento da Administração; </w:t>
      </w:r>
      <w:r w:rsidRPr="00E30EF4">
        <w:rPr>
          <w:rFonts w:eastAsia="Times New Roman"/>
          <w:lang w:eastAsia="pt-BR"/>
        </w:rPr>
        <w:t>(inciso II do § 1° do art. 18 da Lei 14.133/21)</w:t>
      </w:r>
    </w:p>
    <w:p w14:paraId="5EDD3287" w14:textId="77777777" w:rsidR="00413138" w:rsidRDefault="00A74CEC" w:rsidP="00413138">
      <w:pPr>
        <w:shd w:val="clear" w:color="auto" w:fill="FFFFFF"/>
        <w:spacing w:before="120" w:after="120" w:line="360" w:lineRule="auto"/>
        <w:jc w:val="both"/>
        <w:rPr>
          <w:rFonts w:ascii="Times New Roman" w:hAnsi="Times New Roman" w:cs="Times New Roman"/>
          <w:color w:val="000000"/>
        </w:rPr>
      </w:pPr>
      <w:r w:rsidRPr="00E30EF4">
        <w:rPr>
          <w:rFonts w:ascii="Times New Roman" w:hAnsi="Times New Roman" w:cs="Times New Roman"/>
          <w:color w:val="000000"/>
        </w:rPr>
        <w:t>Demonstração do alinhamento entre a contratação e o planejamento do órgão ou entidade, identificando a previsão no Plano Anual de Contratações ou, se for o caso, justificando a ausência de previsão; (Art. 12, inciso VII da Lei 14.133/21)</w:t>
      </w:r>
      <w:r w:rsidR="00413138">
        <w:rPr>
          <w:rFonts w:ascii="Times New Roman" w:hAnsi="Times New Roman" w:cs="Times New Roman"/>
          <w:color w:val="000000"/>
        </w:rPr>
        <w:t xml:space="preserve">. </w:t>
      </w:r>
    </w:p>
    <w:p w14:paraId="41EA6E3C" w14:textId="39E3450F" w:rsidR="00413138" w:rsidRPr="00413138" w:rsidRDefault="00413138" w:rsidP="00413138">
      <w:pPr>
        <w:shd w:val="clear" w:color="auto" w:fill="FFFFFF"/>
        <w:spacing w:before="120" w:after="120" w:line="360" w:lineRule="auto"/>
        <w:jc w:val="both"/>
        <w:rPr>
          <w:rFonts w:ascii="Times New Roman" w:hAnsi="Times New Roman" w:cs="Times New Roman"/>
          <w:i/>
          <w:iCs/>
          <w:color w:val="000000"/>
        </w:rPr>
      </w:pPr>
      <w:r w:rsidRPr="00413138">
        <w:rPr>
          <w:rFonts w:ascii="Times New Roman" w:hAnsi="Times New Roman" w:cs="Times New Roman"/>
          <w:color w:val="000000"/>
        </w:rPr>
        <w:t xml:space="preserve">O referente curso não está previsto no Plano de Contratações Anual de 2025, sendo a nova demanda justificável pelas seguintes razões: Não tem como se prever em qual data terá um curso </w:t>
      </w:r>
      <w:proofErr w:type="spellStart"/>
      <w:r w:rsidRPr="00413138">
        <w:rPr>
          <w:rFonts w:ascii="Times New Roman" w:hAnsi="Times New Roman" w:cs="Times New Roman"/>
          <w:color w:val="000000"/>
        </w:rPr>
        <w:t>capacitante</w:t>
      </w:r>
      <w:proofErr w:type="spellEnd"/>
      <w:r w:rsidRPr="00413138">
        <w:rPr>
          <w:rFonts w:ascii="Times New Roman" w:hAnsi="Times New Roman" w:cs="Times New Roman"/>
          <w:color w:val="000000"/>
        </w:rPr>
        <w:t xml:space="preserve"> e que seja interessante para o servidor e para a Câmara Municipal.</w:t>
      </w:r>
    </w:p>
    <w:p w14:paraId="22EBE72C" w14:textId="5993D19B" w:rsidR="00A74CEC" w:rsidRPr="00E30EF4" w:rsidRDefault="00A74CEC" w:rsidP="00A74CEC">
      <w:pPr>
        <w:shd w:val="clear" w:color="auto" w:fill="FFFFFF"/>
        <w:spacing w:before="120" w:after="120" w:line="360" w:lineRule="auto"/>
        <w:jc w:val="both"/>
        <w:rPr>
          <w:rFonts w:ascii="Times New Roman" w:hAnsi="Times New Roman" w:cs="Times New Roman"/>
          <w:color w:val="000000"/>
        </w:rPr>
      </w:pPr>
    </w:p>
    <w:p w14:paraId="240D3644" w14:textId="77777777" w:rsidR="00A74CEC" w:rsidRPr="00E30EF4" w:rsidRDefault="00A74CEC" w:rsidP="00A74CEC">
      <w:pPr>
        <w:spacing w:before="120" w:after="120" w:line="360" w:lineRule="auto"/>
        <w:jc w:val="both"/>
        <w:rPr>
          <w:rFonts w:ascii="Times New Roman" w:hAnsi="Times New Roman" w:cs="Times New Roman"/>
          <w:b/>
          <w:bCs/>
          <w:color w:val="000000"/>
        </w:rPr>
      </w:pPr>
      <w:r w:rsidRPr="00E30EF4">
        <w:rPr>
          <w:rFonts w:ascii="Times New Roman" w:hAnsi="Times New Roman" w:cs="Times New Roman"/>
          <w:b/>
          <w:bCs/>
          <w:color w:val="000000"/>
        </w:rPr>
        <w:t>3 – REQUISITOS DA CONTRATAÇÃO</w:t>
      </w:r>
    </w:p>
    <w:p w14:paraId="29E79D01" w14:textId="77777777" w:rsidR="00A74CEC" w:rsidRPr="00E30EF4" w:rsidRDefault="00A74CEC" w:rsidP="00A74CEC">
      <w:pPr>
        <w:spacing w:before="120" w:after="120" w:line="360" w:lineRule="auto"/>
        <w:jc w:val="both"/>
        <w:rPr>
          <w:rFonts w:ascii="Times New Roman" w:hAnsi="Times New Roman" w:cs="Times New Roman"/>
        </w:rPr>
      </w:pPr>
      <w:r w:rsidRPr="00E30EF4">
        <w:rPr>
          <w:rFonts w:ascii="Times New Roman" w:hAnsi="Times New Roman" w:cs="Times New Roman"/>
          <w:b/>
          <w:bCs/>
          <w:color w:val="000000"/>
        </w:rPr>
        <w:t xml:space="preserve">Fundamentação: </w:t>
      </w:r>
      <w:r w:rsidRPr="00E30EF4">
        <w:rPr>
          <w:rFonts w:ascii="Times New Roman" w:hAnsi="Times New Roman" w:cs="Times New Roman"/>
          <w:color w:val="000000"/>
        </w:rPr>
        <w:t>Descrição dos requisitos necessários e suficientes à escolha da solução. (inciso III do § 1° do art. 18 da Lei 14.133/2021).</w:t>
      </w:r>
    </w:p>
    <w:p w14:paraId="357F0216"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presente contratação é pautada na inexigibilidade prevista pelo art. 74, III, “f”, da Lei nº 14.133/21. Desse modo, o dispositivo legal em questão assim prevê: </w:t>
      </w:r>
    </w:p>
    <w:p w14:paraId="647FCDD9" w14:textId="77777777" w:rsidR="00A74CEC" w:rsidRPr="00D343E2" w:rsidRDefault="00A74CEC" w:rsidP="00A74CEC">
      <w:pPr>
        <w:spacing w:before="120" w:after="120"/>
        <w:ind w:left="2268"/>
        <w:contextualSpacing/>
        <w:jc w:val="both"/>
        <w:rPr>
          <w:rFonts w:ascii="Times New Roman" w:hAnsi="Times New Roman" w:cs="Times New Roman"/>
          <w:i/>
          <w:iCs/>
          <w:color w:val="0070C0"/>
          <w:sz w:val="20"/>
          <w:szCs w:val="20"/>
        </w:rPr>
      </w:pPr>
      <w:r w:rsidRPr="00D343E2">
        <w:rPr>
          <w:rFonts w:ascii="Times New Roman" w:hAnsi="Times New Roman" w:cs="Times New Roman"/>
          <w:i/>
          <w:iCs/>
          <w:color w:val="0070C0"/>
          <w:sz w:val="20"/>
          <w:szCs w:val="20"/>
        </w:rPr>
        <w:t>Art. 74. É inexigível a licitação quando inviável a competição, em especial nos casos de: (...) III - contratação dos seguintes serviços técnicos especializados de natureza predominantemente intelectual com profissionais ou empresas de notória especialização, vedada a inexigibilidade para serviços de publicidade e divulgação: (...) f) treinamento e aperfeiçoamento de pessoal (...).</w:t>
      </w:r>
    </w:p>
    <w:p w14:paraId="1608DF18" w14:textId="77777777" w:rsidR="00A74CEC" w:rsidRPr="00D343E2" w:rsidRDefault="00A74CEC" w:rsidP="00A74CEC">
      <w:pPr>
        <w:spacing w:before="120" w:after="120" w:line="360" w:lineRule="auto"/>
        <w:jc w:val="both"/>
        <w:rPr>
          <w:rFonts w:ascii="Times New Roman" w:hAnsi="Times New Roman" w:cs="Times New Roman"/>
          <w:i/>
          <w:iCs/>
          <w:color w:val="0070C0"/>
        </w:rPr>
      </w:pPr>
    </w:p>
    <w:p w14:paraId="6D63465A"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Desse modo, é possível apresentar requisitos para essa contratação por inexigibilidade de licitação, quais sejam: A) Inviabilidade de competição; B) Serviço Técnico Especializado; C) Demonstração que a contratação de profissional ou empresa com notória especialização é imprescindível à plena satisfação do objeto contratado; D) Notória Especialização e; E) Natureza singular do objeto a ser contratado.  </w:t>
      </w:r>
    </w:p>
    <w:p w14:paraId="148ED219" w14:textId="77777777" w:rsidR="00A74CEC" w:rsidRPr="00D343E2" w:rsidRDefault="00A74CEC" w:rsidP="00A74CEC">
      <w:pPr>
        <w:spacing w:before="120" w:after="120" w:line="360" w:lineRule="auto"/>
        <w:jc w:val="both"/>
        <w:rPr>
          <w:rFonts w:ascii="Times New Roman" w:hAnsi="Times New Roman" w:cs="Times New Roman"/>
          <w:i/>
          <w:iCs/>
          <w:color w:val="0070C0"/>
          <w:u w:val="single"/>
        </w:rPr>
      </w:pPr>
      <w:r w:rsidRPr="00D343E2">
        <w:rPr>
          <w:rFonts w:ascii="Times New Roman" w:hAnsi="Times New Roman" w:cs="Times New Roman"/>
          <w:i/>
          <w:iCs/>
          <w:color w:val="0070C0"/>
          <w:u w:val="single"/>
        </w:rPr>
        <w:t xml:space="preserve">A) Inviabilidade de competição </w:t>
      </w:r>
    </w:p>
    <w:p w14:paraId="461ED609"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inviabilidade de competição é requisito comum às inexigibilidades de licitação. Referida inviabilidade pode decorrer da ausência de pluralidade de alternativas, ausência de mercado concorrencial ou ainda da ausência de objetividade na seleção do objeto.  </w:t>
      </w:r>
    </w:p>
    <w:p w14:paraId="2805DFA7"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lastRenderedPageBreak/>
        <w:t>A ausência de objetividade na seleção do objeto se caracteriza, como regra, pela impossibilidade de seleção segundo critérios objetivos. Existem diferentes alternativas, mas a natureza personalíssima da atuação do particular impede o julgamento objetivo. É impossível definir com precisão uma relação custo-benefício. Ainda que seja possível determinar o custo, os benefícios que serão usufruídos pela Administração são relativamente imponderáveis. Essa incerteza deriva basicamente da natureza subjetiva da avaliação, eis que a natureza da prestação envolve fatores intelectuais, artísticos, criativos e assim por diante. Não há critério objetivo de julgamento para escolher o melhor. Quando não houver critério objetivo de julgamento, a competição perde o sentido.</w:t>
      </w:r>
    </w:p>
    <w:p w14:paraId="0461CEFB"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Conforme será apontado pelos tópicos seguintes, no presente caso, não há critérios objetivos para julgamento, o que caracteriza a inexigibilidade de licitação. </w:t>
      </w:r>
    </w:p>
    <w:p w14:paraId="374E2756" w14:textId="77777777" w:rsidR="00A74CEC" w:rsidRPr="00D343E2" w:rsidRDefault="00A74CEC" w:rsidP="00A74CEC">
      <w:pPr>
        <w:spacing w:before="120" w:after="120" w:line="360" w:lineRule="auto"/>
        <w:jc w:val="both"/>
        <w:rPr>
          <w:rFonts w:ascii="Times New Roman" w:hAnsi="Times New Roman" w:cs="Times New Roman"/>
          <w:i/>
          <w:iCs/>
          <w:color w:val="0070C0"/>
          <w:u w:val="single"/>
        </w:rPr>
      </w:pPr>
      <w:r w:rsidRPr="00D343E2">
        <w:rPr>
          <w:rFonts w:ascii="Times New Roman" w:hAnsi="Times New Roman" w:cs="Times New Roman"/>
          <w:i/>
          <w:iCs/>
          <w:color w:val="0070C0"/>
          <w:u w:val="single"/>
        </w:rPr>
        <w:t xml:space="preserve">B) Serviço Técnico Especializado </w:t>
      </w:r>
    </w:p>
    <w:p w14:paraId="4C47D1E7"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É fato público e notório que a excelência das atividades desta Casa, como a de qualquer atividade pública, requer permanente aperfeiçoamento e atualização dos conhecimentos dos agentes públicos, como forma de garantir a legitimidade do serviço público prestado, sua efetividade, eficiência e alcance do bem comum a que se presta.</w:t>
      </w:r>
    </w:p>
    <w:p w14:paraId="7A4C6594"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legislação pátria permite-nos inferir, por premissa básica, que, se os serviços pretendidos se enquadram na hipótese do citado art. 74, III, “f” da Lei federal nº 14.133, de 2021, a inexigibilidade de licitação já se caracteriza. É o que ocorre com o serviço que se pretende contratar no caso em comento, que, vale dizer, tem como característica principal o fato de ser executado de forma predominantemente intelectual, característica </w:t>
      </w:r>
      <w:proofErr w:type="spellStart"/>
      <w:r w:rsidRPr="00D343E2">
        <w:rPr>
          <w:rFonts w:ascii="Times New Roman" w:hAnsi="Times New Roman" w:cs="Times New Roman"/>
          <w:i/>
          <w:iCs/>
          <w:color w:val="0070C0"/>
        </w:rPr>
        <w:t>esta</w:t>
      </w:r>
      <w:proofErr w:type="spellEnd"/>
      <w:r w:rsidRPr="00D343E2">
        <w:rPr>
          <w:rFonts w:ascii="Times New Roman" w:hAnsi="Times New Roman" w:cs="Times New Roman"/>
          <w:i/>
          <w:iCs/>
          <w:color w:val="0070C0"/>
        </w:rPr>
        <w:t xml:space="preserve"> incluída na descrição dos serviços técnicos especializados previstos pela legislação.</w:t>
      </w:r>
    </w:p>
    <w:p w14:paraId="5FE1D6B9" w14:textId="77777777" w:rsidR="00A74CEC" w:rsidRPr="00D343E2" w:rsidRDefault="00A74CEC" w:rsidP="00A74CEC">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Extrai-se ainda do Documento de Formalização da Demanda, que a presente iniciativa tem o objetivo de contratar pessoa jurídica para prestação de serviços de docência em ação educacional. </w:t>
      </w:r>
    </w:p>
    <w:p w14:paraId="33D20E52" w14:textId="10A1293C" w:rsidR="00666FD7" w:rsidRPr="00277CC6" w:rsidRDefault="00A74CEC" w:rsidP="00413138">
      <w:pPr>
        <w:spacing w:before="120" w:after="120" w:line="360" w:lineRule="auto"/>
        <w:ind w:firstLine="1134"/>
        <w:jc w:val="both"/>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3E2">
        <w:rPr>
          <w:rFonts w:ascii="Times New Roman" w:hAnsi="Times New Roman" w:cs="Times New Roman"/>
          <w:i/>
          <w:iCs/>
          <w:color w:val="0070C0"/>
        </w:rPr>
        <w:t>A ação educacional em questão refere-se à contratação do curso denominado</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6C3C"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13138" w:rsidRPr="00413138">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612º CURSO SOBRE A INTRODUÇÃO AO MANDATO LEGISLATIVO </w:t>
      </w:r>
      <w:r w:rsidR="00413138" w:rsidRPr="00413138">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MÓDULO II: AUTONOMIA E COMPETÊNCIA DO MUNICÍPIO, PRERROGATIVAS E REPONSABILIDADES DOS VEREADORES</w:t>
      </w:r>
      <w:r w:rsidR="00F96C3C"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807FF73" w14:textId="7D2ACE95" w:rsidR="00BC6F60" w:rsidRPr="00220D18" w:rsidRDefault="00BC6F60"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Assim, para a contratação solicitada, é preciso a caracterização de um serviço predominantemente intelectual, o que é o caso da presente contratação. </w:t>
      </w:r>
    </w:p>
    <w:p w14:paraId="453BD187" w14:textId="7C0BBAFF" w:rsidR="00BC6F60" w:rsidRPr="00220D18" w:rsidRDefault="004A53E0" w:rsidP="00BC6F60">
      <w:pPr>
        <w:spacing w:before="120" w:after="120" w:line="360" w:lineRule="auto"/>
        <w:jc w:val="both"/>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BC6F60"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Demonstração que a contratação de profissional ou empresa com notória especialização é imprescindível à plena satisfação do objeto contratado</w:t>
      </w:r>
    </w:p>
    <w:p w14:paraId="3DE7B580" w14:textId="2025E2C4" w:rsidR="00BC6F60" w:rsidRPr="00220D18" w:rsidRDefault="00BC6F60"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que essa hipótese de inexigibilidade seja aplicável, deve-se avaliar não somente as características do prestador, mas também as do serviço demandado, a fim de demonstrar que a contratação do profissional ou da empresa de notória especialização é imprescindível à plena satisfação do objeto do contrato, como previsto no art. 6º, inciso XIX, e no art. 74, § 3º, da Lei federal nº 14.133, de 2021.</w:t>
      </w:r>
    </w:p>
    <w:p w14:paraId="10B02777" w14:textId="3D70F98F" w:rsidR="00BC6F60" w:rsidRPr="00220D18" w:rsidRDefault="00BC6F60"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Note-se que, nessa hipótese de inexigibilidade, a técnica empregada na execução do objeto e a habilidade do prestador são interdependentes, fazendo com que a escolha do contratado dependa de uma análise subjetiva, o que torna a licitação inviável. Isso porque haverá dificuldade em comparar objetivamente as propostas, que estão atreladas aos profissionais que executarão os trabalhos. </w:t>
      </w:r>
    </w:p>
    <w:p w14:paraId="78C5ADA8" w14:textId="6B93042C" w:rsidR="00BC6F60" w:rsidRPr="007F4FB7" w:rsidRDefault="00BC6F60" w:rsidP="000F72E7">
      <w:pPr>
        <w:spacing w:before="120" w:after="120" w:line="360" w:lineRule="auto"/>
        <w:ind w:firstLine="1134"/>
        <w:jc w:val="both"/>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É o caso por exemplo, das </w:t>
      </w:r>
      <w:bookmarkStart w:id="0" w:name="_Hlk175229584"/>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contratações de treinamento e aperfeiçoamento de pessoal, em que os resultados pretendidos pela Administração dependem da atuação direta do instrutor, ou seja, da aplicação de talento, técnica e didática próprias, com curso desenvolvido ou adaptado especificamente para o atendimento do público-alvo do treinamento.</w:t>
      </w:r>
      <w:bookmarkEnd w:id="0"/>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Nessas circunstâncias, restará configurada a inviabilidade de competição, haja vista a impossibilidade de comparar objetivamente os possíveis instrutores e os produtos por eles oferecidos. </w:t>
      </w:r>
    </w:p>
    <w:p w14:paraId="180AB835" w14:textId="5EC8AAF4" w:rsidR="00BC6F60" w:rsidRPr="00220D18" w:rsidRDefault="007F4FB7" w:rsidP="007F4FB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175230129"/>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curso em questão tem como finalidade capacitar </w:t>
      </w:r>
      <w:r w:rsidR="00CB3D8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Vereador</w:t>
      </w:r>
      <w:r w:rsidR="00CB3D8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fim de que ele possa desempenhar suas atividades com maior qualidade e acuidade, principalmente no que concerne a assuntos relacionados à Câmara Municipal</w:t>
      </w:r>
      <w:r w:rsidR="00413138"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a fiscalização do Poder Executivo</w:t>
      </w:r>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capacitando</w:t>
      </w:r>
      <w:r w:rsidR="00CB3D8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para tais </w:t>
      </w:r>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funções legislativas. O curso</w:t>
      </w:r>
      <w:r w:rsidR="00CB3D8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apresentará</w:t>
      </w:r>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3138"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aspectos</w:t>
      </w:r>
      <w:r w:rsidR="00CB3D8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introdutórios</w:t>
      </w:r>
      <w:r w:rsidR="00413138"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sobre o mandato legislativo, autonomia e competências do Município, e também prerrogativas e responsabilidades dos Vereadores.</w:t>
      </w:r>
    </w:p>
    <w:bookmarkEnd w:id="1"/>
    <w:p w14:paraId="53EB38CA" w14:textId="40DEE55B" w:rsidR="00BC6F60" w:rsidRPr="007F4FB7" w:rsidRDefault="00BC6F60" w:rsidP="000F72E7">
      <w:pPr>
        <w:spacing w:before="120" w:after="120" w:line="360" w:lineRule="auto"/>
        <w:ind w:firstLine="1134"/>
        <w:jc w:val="both"/>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Nesse sentido, é possível inferir que a contratação aqui aduzida é fundamental e crucial para o atendimento dos interesses do órgão, haja vista que </w:t>
      </w:r>
      <w:bookmarkStart w:id="2" w:name="_Hlk175229723"/>
      <w:r w:rsidR="00A13B4E"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guarda evidente relação com os conhecimentos necessários ao agente público para o desempenho de suas funções. Nesse sentido, o</w:t>
      </w: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servidores e vereadores devem ser capacitados continuamente para o regular exercício de suas atribuições, notadamente porque as atividades desempenhadas pelos agentes públicos estão sujeitas à constante atualização procedimental e de conteúdo. </w:t>
      </w:r>
    </w:p>
    <w:bookmarkEnd w:id="2"/>
    <w:p w14:paraId="245328D0" w14:textId="4F811391" w:rsidR="006255FB" w:rsidRPr="007F4FB7" w:rsidRDefault="004A53E0" w:rsidP="00BC6F60">
      <w:pPr>
        <w:spacing w:before="120" w:after="120" w:line="360" w:lineRule="auto"/>
        <w:jc w:val="both"/>
        <w:rPr>
          <w:rFonts w:ascii="Times New Roman" w:hAnsi="Times New Roman" w:cs="Times New Roman"/>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6255FB" w:rsidRPr="007F4FB7">
        <w:rPr>
          <w:rFonts w:ascii="Times New Roman" w:hAnsi="Times New Roman" w:cs="Times New Roman"/>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Notória especialização para escolha do fornecedor</w:t>
      </w:r>
    </w:p>
    <w:p w14:paraId="58B3CDF1" w14:textId="76ED9AEF" w:rsidR="006255FB" w:rsidRPr="00220D18" w:rsidRDefault="006255FB"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Outro requisito também mantido na Lei federal nº 14.133, de 2021, a notória especialização do profissional deve estar relacionada ao objeto pretendido, e, segundo a</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doutrina, precisa estar intimamente relacionada com a singularidade intentada pela Administração. O conceito reproduzido no § 3º do art. 74 da Lei federal nº 14.133, de 2021 se refere a</w:t>
      </w:r>
      <w:r w:rsidR="00C621B7"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requisito da atividade da pessoa </w:t>
      </w:r>
      <w:r w:rsidR="00C621B7"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permitir</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inferir que o trabalho é essencial e reconhecidamente o mais adequado à plena satisfação do objeto do contrato. </w:t>
      </w:r>
    </w:p>
    <w:p w14:paraId="7BA549BE" w14:textId="4CC4BC20" w:rsidR="006255FB" w:rsidRPr="00220D18" w:rsidRDefault="006255FB"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Desse modo, deve ser avaliado: i) se as pessoas, por meio de desempenhos anteriores, estudos, experiências, publicações, organização, aparelhamento, equipe técnica e outros requisitos relacionados com suas atividades, são as mais adequadas ao atendimento da necessidade pública. Normalmente isso se constata pela apresentação de currículo, diplomas acadêmicos, publicações na área do conhecimento e atestados de capacidade técnica, sem prejuízo de outras fontes pertinentes; e </w:t>
      </w:r>
      <w:proofErr w:type="spellStart"/>
      <w:r w:rsidR="002A4734"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 a notória especialização está relacionada com o serviço técnico especializado singular objeto da contratação.</w:t>
      </w:r>
    </w:p>
    <w:p w14:paraId="649A4134" w14:textId="5882B151" w:rsidR="00C12735" w:rsidRPr="00220D18" w:rsidRDefault="006255FB"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Certo é que os serviços de treinamento e aperfeiçoamento de pessoal podem ser alvo de contratação direta, por meio da inexigibilidade de licitação, consubstanciada no art. 74, III, “f” e § 3º da Nova Lei de Licitações e Contratos, mas esse enquadramento dependerá da presença dos requisitos normativos exigidos</w:t>
      </w:r>
      <w:r w:rsidR="002A4734"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30B92B8" w14:textId="74DD9F63" w:rsidR="00C12735" w:rsidRPr="00220D18" w:rsidRDefault="00C12735"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_Hlk175230331"/>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caso concreto, é difícil estabelecer padrões adequados de competição para escolher </w:t>
      </w:r>
      <w:r w:rsidR="00C621B7"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maneira isenta</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entre diferentes professores ou cursos, tornando-se complicado comparar a capacidade intelectual oferecida por cada pessoa física ou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jurídica. Por essa razão, a lei de licitações optou por classificar na categoria de serviço técnico profissional especializado, o trabalho de treinamento e aperfeiçoamento de pessoal da Administração, por particulares. Sendo de natureza singular o serviço, será necessariamente diferente um treinamento de outro, ainda que sobre os mesmos temas, quando ministrado por particulares diversos. Nesse sentido, inclusive, é a decisão 439/1998, do TCU</w:t>
      </w:r>
      <w:r w:rsidR="00147987"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senão vejamos:</w:t>
      </w:r>
    </w:p>
    <w:p w14:paraId="1384A48C" w14:textId="12964C02" w:rsidR="00147987" w:rsidRPr="00220D18" w:rsidRDefault="00147987" w:rsidP="00147987">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É notoriamente sabido que na maioria das vezes, no caso concreto, é difícil estabelecer padrões adequados de competição para escolher isentamente entre diferentes professores ou cursos, tornando-se complicado comparar o talento e a capacidade didática dos diversos mestres. 4. Aliás, essa realidade já foi reconhecida pela doutrina do direito administrativo. O mestre Ivan Barbosa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Rigolin</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ao discorrer sobre o enquadramento legal de natureza singular empregado pela legislação ao treinamento e aperfeiçoamento de pessoal, ainda quanto à aplicação do art. 23, inciso II, do Dec.-lei no 2.300/86, defendia que: "A metodologia empregada, o sistema pedagógico, o material e os recursos didáticos, os diferentes instrutores, o enfoque das matérias, a preocupação ideológica, assim como todas as demais questões fundamentais, relacionadas com a prestação final do serviço e com os seus resultados - que são o que afinal importa obter -, nada disso pode ser predeterminado ou adrede escolhido pela Administração contratante. Aí reside a marca inconfundível do autor dos serviços de natureza singular, que não executa projeto prévio e conhecido de todos mas desenvolve técnica apenas sua, que pode inclusive variar a cada novo trabalho, aperfeiçoando-se continuadamente.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 todas essas razões entendeu a lei de licitações de classificar na categoria de serviço técnico profissional especializado, o trabalho de treinamento e aperfeiçoamento de pessoal da Administração, por particulares (pessoas físicas ou jurídicas); sendo de natureza singular o serviço, será fatalmente diferente um treinamento de outro, ainda que sobre os mesmos temas, quando ministrado por particulares diversos. E, desse modo, sendo desiguais os produtos que os variados profissionais oferecem, torna-se inexigível a licitação por imperativo lógico que consta do art. 23, inciso II, do Dec.-lei no 2.300/86."</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Treinamento de Pessoal - Natureza da Contratação" "in" Boletim de Direito Administrativo - Março de 1993, págs. 176/79- grifo nosso) 5. Nessa mesma linha de raciocínio, destaco pensamento do administrativista Antônio Carlos Cintra do Amaral, que ao discorrer sobre a contratação de profissional para realização de treinamento de pessoal, assevera que: "Treinamento e aperfeiçoamento de pessoal é serviço técnico profissional especializado, previsto no art. 13, VI, da mesma Lei no 8.666/93. Em princípio, é de natureza singular, porque é conduzido por uma ou mais pessoas físicas, mesmo quando a contratada é pessoa jurídica. A singularidade reside em que dessa ou dessas pessoas físicas (instrutores ou docentes) requer-se: a) experiência; b) domínio do assunto; c) didática; d) experiência e habilidade na condução de grupos, frequentemente heterogêneos inclusive no que se refere à formação profissional; e) capacidade de comunicação. Como não se pode dissociar o treinamento do instrutor ou docente, essa singularidade subjetiva é também objetiva. Vale </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dizer: também o serviço por ele prestado é singular..." ("Ato Administrativo, Licitações e Contratos Administrativos", Malheiros Editores, 1995, pág. 110). (TCU. Decisão no 439/1998. Plenário. Processo: 000.830/1998-4. Relator: Ministro Adhemar Paladini Ghisi. Sessão de 15/07/1998.)" (Grifei)</w:t>
      </w:r>
    </w:p>
    <w:p w14:paraId="16ED55F6" w14:textId="77777777" w:rsidR="00147987" w:rsidRPr="00220D18" w:rsidRDefault="00147987"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3"/>
    <w:p w14:paraId="2AE7F6FA" w14:textId="279CF958" w:rsidR="00C12735" w:rsidRPr="003B2204" w:rsidRDefault="00C12735" w:rsidP="000975BA">
      <w:pPr>
        <w:spacing w:before="120" w:after="120" w:line="360" w:lineRule="auto"/>
        <w:ind w:firstLine="1134"/>
        <w:jc w:val="both"/>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Diante da singularidade dos serviços prestado, a escolha da empresa</w:t>
      </w:r>
      <w:r w:rsidR="0051205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004E3">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13138"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INSTITUTO GLOBAL DE ADMINISTRACAO PUBLICA LTDA</w:t>
      </w:r>
      <w:r w:rsidR="001004E3">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95C64">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 meio d</w:t>
      </w:r>
      <w:r w:rsidR="00C42D47">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1004E3">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docente</w:t>
      </w:r>
      <w:r w:rsidR="001004E3">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3138" w:rsidRPr="00413138">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Eder Lima Palma e Dr. Christiano Gonzaga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dá por meio de uma decisão estratégica para atender as necessidades apontadas pelo demandante</w:t>
      </w:r>
      <w:r w:rsidR="00A13B4E"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13B4E"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escolha do</w:t>
      </w:r>
      <w:r w:rsid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docente</w:t>
      </w:r>
      <w:r w:rsid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notória especialização se dá de acordo com sua formação, experiências, publicações, metodologias aplicadas, capacidade de docência, e de como tais características pessoais se compatibilizam com os temas e os objetivos das capacitações a serem contratadas, haja vista a sua experiência acadêmica e profissional com relação ao tema que será ministrado, conforme se verifica em informações constantes d</w:t>
      </w:r>
      <w:r w:rsidR="00CB49E6"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cronograma do curso</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do currículo </w:t>
      </w:r>
      <w:r w:rsidR="00CB49E6"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professor</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B49E6"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4D68969" w14:textId="33BA33B9" w:rsidR="006255FB" w:rsidRPr="00B25C18" w:rsidRDefault="00413138" w:rsidP="00B25C18">
      <w:pPr>
        <w:spacing w:before="120" w:after="120" w:line="360" w:lineRule="auto"/>
        <w:ind w:firstLine="1134"/>
        <w:jc w:val="both"/>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Nesse sentido, conforme currículo apresentado, o professor Dr. Eder Lima Palma </w:t>
      </w:r>
      <w:bookmarkStart w:id="4" w:name="_Hlk175230067"/>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é </w:t>
      </w:r>
      <w:bookmarkEnd w:id="4"/>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Advogado, Graduado em Direito pela </w:t>
      </w:r>
      <w:proofErr w:type="spellStart"/>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Unisepe</w:t>
      </w:r>
      <w:proofErr w:type="spellEnd"/>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Faculdade de São Lourenço-MG; Pós-Graduado em Direito Administrativo pela Pontíficia Universidade Católica de Minas Gerais (PUC/MINAS); Pós-Graduado em Direito Eleitoral com Capacitação para o Ensino no Magistério Superior e Pós-Graduado em Planejamento e Orçamento Público. Coordenador Acadêmico da Empresa Gênesis Capacitação em Gestão Pública e Instituto Global de Administração Pública. Palestrante com mais de 500 cursos ministrados na área de Administração Pública. Já o Dr. Christiano Gonzaga é Professor de Direito Penal na Faculdade de Direito Milton Campos nos cursos de graduação e pós-graduação. Professor em cursos preparatórios para ingresso em carreira jurídica. Mestre em Direito. </w:t>
      </w:r>
      <w:proofErr w:type="spellStart"/>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Ex-Defensor</w:t>
      </w:r>
      <w:proofErr w:type="spellEnd"/>
      <w:r w:rsidRPr="0041313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Público do Estado de Minas Gerais. Atualmente, é Promotor de Justiça do Estado de Minas Gerais com atuação na área criminal.</w:t>
      </w:r>
      <w:r w:rsidR="00CB49E6"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01B8648" w14:textId="4E8637A1" w:rsidR="00CB49E6" w:rsidRPr="00220D18" w:rsidRDefault="004A53E0" w:rsidP="00BC6F60">
      <w:pPr>
        <w:spacing w:before="120" w:after="120" w:line="360" w:lineRule="auto"/>
        <w:jc w:val="both"/>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CB49E6"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Natureza </w:t>
      </w:r>
      <w:r w:rsidR="002A4734"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CB49E6"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ingular do </w:t>
      </w:r>
      <w:r w:rsidR="002A4734"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CB49E6"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bjeto a ser contratado.  </w:t>
      </w:r>
    </w:p>
    <w:p w14:paraId="19955978" w14:textId="2ABE8EA0" w:rsidR="00CB49E6" w:rsidRPr="00220D18" w:rsidRDefault="00FA469D"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 Lei nº 14.133/21 não previu de maneira expressa o requisito de comprovação da natureza singular do serviço a ser contratado. Nesse sentido, instaurou-se controvérsia na doutrina acerca da necessidade de comprovação desse requisito. Alguns estudiosos, inclusive, indicam posicionamento do Tribunal de Contas da União que analisou dispositivo legal similar da Lei Federal nº 13.303/2016 (Lei das Estatais), em que indicou a singularidade do serviço como um dos requisitos para a contratação direta de profissionais com notória especialização.  </w:t>
      </w:r>
    </w:p>
    <w:p w14:paraId="1E63A566" w14:textId="42F1F104" w:rsidR="00FA469D" w:rsidRPr="00220D18" w:rsidRDefault="00FA469D"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Desse modo, por cautela, também é pertinente analisar o presente aspecto. Objeto singular é aquele que poderia ser qualificado como infungível, aqueles que não podem ser substituídos por outros de mesma espécie, qualidade e quantidade. Nesse diapasão, é evidente a correlação existente entre </w:t>
      </w:r>
      <w:r w:rsidR="009F0142"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notória especialização e o serviço singular objeto do procedimento. </w:t>
      </w:r>
    </w:p>
    <w:p w14:paraId="6B7FF3F6" w14:textId="4D4D6399" w:rsidR="009F0142" w:rsidRPr="00220D18" w:rsidRDefault="009F0142"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Assim, </w:t>
      </w:r>
      <w:bookmarkStart w:id="5" w:name="_Hlk175231607"/>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serviço singular é aquele em que o prestador possui conhecimento aprofundado e, por isso, trata-se de atividade diferenciada</w:t>
      </w:r>
      <w:bookmarkEnd w:id="5"/>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mas jamais única ou exclusiva (até porque se fosse exclusiva, a inexigibilidade seria fundamentada pelo inciso I, do art. 74, da Lei nº 14.133/21 e não pelo art. 74, III, “f” da referida lei). </w:t>
      </w:r>
    </w:p>
    <w:p w14:paraId="2F797D6A" w14:textId="785D5CF2" w:rsidR="009F0142" w:rsidRPr="00220D18" w:rsidRDefault="009F0142"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Nesse contexto, na inexigibilidade de licitação para contratação de serviço técnico especializado, com profissionais ou empresas de notória especialização, no âmbito da Lei federal nº 14.133, de 2021, </w:t>
      </w:r>
      <w:r w:rsidR="000F72E7"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singularidade se verifica pelo preenchimento das seguintes circunstâncias: i) os serviços são específicos e possuem peculiaridades quanto à maneira e o modo de prestação, somente podendo ser realizados com confiabilidade por pessoas habilitadas e capacitadas;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 serviços apresentam complexidade técnica e devem ser feitos sob encomenda por um terceiro, devendo este reunir um conjunto de atributos que não podem ser mensurados por critérios objetivos; e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os serviços não devem ser padronizados, básicos e convencionais.</w:t>
      </w:r>
    </w:p>
    <w:p w14:paraId="7B4F582A" w14:textId="47536C05" w:rsidR="009F0142" w:rsidRPr="00220D18" w:rsidRDefault="009F0142"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Hlk175231643"/>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Os serviços de docência para os fins das ações educacionais pretendidas, devem ser caracterizados, via de regra, como singulares, uma vez que não se tratam de atuações padronizadas e, com isso, comparáveis entre si. Pelo contrário, ministrar uma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aula ou elaborar um conteúdo educacional é algo peculiar, que resulta da aplicação da formação, da experiência profissional e docente e de metodologias próprias do docente definido, as quais, a princípio, não poderiam ser simplesmente replicadas por qualquer outra pessoa.</w:t>
      </w:r>
      <w:bookmarkEnd w:id="6"/>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 efeito, segue o </w:t>
      </w:r>
      <w:r w:rsidR="000F72E7"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seguinte ensinamento</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6133721" w14:textId="720A38FA" w:rsidR="009F0142" w:rsidRPr="00220D18" w:rsidRDefault="009F0142" w:rsidP="00731E9D">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objeto do serviço de treinamento só se materializa com a aula (o fazer). É por meio desta ação que o professor/instrutor, fazendo uso da metodologia didático-pedagógica, utilizando os recursos instrucionais e aplicando o conteúdo programático, realiza o objeto. Portanto, o núcleo do serviço é a própria aula.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Ora, se é a aula, não se pode, em regra, considerar que seja um serviço usual ou executado de forma padronizada; não se pode admitir que, quem quer que seja o executor (o professor), desde que aplicando os recursos acima, obtenha os mesmos resultados. Afinal, como é próprio do humano, as pessoas são diferentes entre si. Cada professor possui sua técnica própria, sua forma de lidar com grupos, sua empatia, sua didática, suas experiências pessoais, seu ritmo e tom de voz. Tudo isso compõe um conjunto que os tornam incomparáveis entre si.</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Tudo isso requer do profissional, a cada serviço, a necessária adaptação. Inclusive o próprio professor será diferente a cada aula proferida, ainda que do mesmo tema, pois em um curso ouve uma pergunta de um aluno, que levanta uma questão não imaginada, conduzindo o desenvolvimento do conteúdo a uma vertente não programada; para outra turma, leu um livro ou artigo recém publicado que o leva a pesquisar novamente o assunto tratado e, eventualmente, provocará mudança de visão e conceitos. Quer dizer, as aulas sempre serão diferentes, seja na condução, seja no conteúdo, seja na forma de exposição. Não há como negar que cada aula (cada serviço) é, em si, singular, inusitado, peculiar.</w:t>
      </w:r>
      <w:r w:rsidR="00D27D86"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31E9D"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(CHAVES, Luiz Cláudio de Azevedo. Contratação de serviços de treinamento e aperfeiçoamento de pessoal na administração pública: caso de licitação, dispensa ou inexigibilidade</w:t>
      </w:r>
      <w:proofErr w:type="gramStart"/>
      <w:r w:rsidR="00731E9D"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00731E9D"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IDEMP - Instituto de Desenvolvimento Empresarial, Rio de Janeiro, pp. 3- 4. Disponível em: http://idemp-edu.com.br/uploads/artigos/contratacaoservicostreinamento.pdf</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60C3F"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(grifei)</w:t>
      </w:r>
    </w:p>
    <w:p w14:paraId="5AD83D43" w14:textId="77777777" w:rsidR="00FA469D" w:rsidRPr="00220D18" w:rsidRDefault="00FA469D" w:rsidP="00BC6F60">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F60C60" w14:textId="34CA1647" w:rsidR="00D27D86" w:rsidRPr="00220D18" w:rsidRDefault="00D27D86" w:rsidP="000F72E7">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professor Ricardo Alexandre Sampaio também preleciona: </w:t>
      </w:r>
    </w:p>
    <w:p w14:paraId="7CEE557D" w14:textId="694BF228" w:rsidR="00D27D86" w:rsidRPr="00220D18" w:rsidRDefault="00D27D86" w:rsidP="00D27D86">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Ora, na situação em exame, em que pese diversos particulares possam atender a demanda da Administração, ministrando cursos in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capacitação dos servidores,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não se visualiza a possibilidade de estabelecer qualquer critério objetivo para análise, comparação e julgamento de suas propostas, uma vez que a execução desse objeto de modo a atender plenamente a demanda da Administração pressupõe o emprego de atributos e qualificações subjetivas, tais como didática, oratória, experiência, conhecimento, imaginação, entre outros</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(SAMPAIO, Ricardo Alexandre. Inaplicabilidade do pregão à contratação de cursos in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capacitação de servidores. Revista Zênite – Informativo de Licitações e Contratos (ILC), Curitiba: Zênite, 2014 n. 242, p. 361)</w:t>
      </w:r>
      <w:r w:rsidR="00960C3F"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(grifei)</w:t>
      </w:r>
    </w:p>
    <w:p w14:paraId="4C1BE2E1" w14:textId="77777777" w:rsidR="00D27D86" w:rsidRPr="00220D18" w:rsidRDefault="00D27D86" w:rsidP="00BC6F60">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F542A3" w14:textId="430A22A2" w:rsidR="00960C3F" w:rsidRPr="00220D18" w:rsidRDefault="00D27D86" w:rsidP="00960C3F">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À vista do exposto, é possível evidenciar que os serviços a serem contratados são singulares, uma vez que é impossível de se estabelecer, a priori, critérios objetivos de comparação com outros serviços de treinamento oferecidos no mercado, o que, por sua vez, afasta a regra </w:t>
      </w:r>
      <w:r w:rsidR="000F72E7"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licitatória</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60C3F"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Além disso, é possível concluir pela possibilidade de contratação por meio da inexigibilidade de licitação prevista no art. 74, III, “f”, da Lei nº 14.133/21. </w:t>
      </w:r>
    </w:p>
    <w:p w14:paraId="49E81E88" w14:textId="77777777" w:rsidR="00E30EF4" w:rsidRPr="00220D18" w:rsidRDefault="00E30EF4" w:rsidP="00E30EF4">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 ESTIMATIVA DAS QUANTIDADES</w:t>
      </w:r>
    </w:p>
    <w:p w14:paraId="68E834B9"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Estimativa das quantidades a serem contratadas, acompanhada das memórias de cálculo e dos documentos que lhe dão suporte, considerando a interdependência com outras contratações, de modo a possibilitar economia de escala (inciso IV do § 1° do art. 18 da Lei 14.133/21).</w:t>
      </w:r>
    </w:p>
    <w:p w14:paraId="164F76DC" w14:textId="6571C090" w:rsidR="00C03DCC" w:rsidRPr="00220D18" w:rsidRDefault="00C03DCC" w:rsidP="00C03DCC">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Hlk176787899"/>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termo de documento de formalização de demanda foi requerida a inscrição de curso para apenas um </w:t>
      </w:r>
      <w:r w:rsidR="005B1497">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servidor</w:t>
      </w:r>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Portanto o quantitativo é de apenas uma unidade de inscrição de curso.</w:t>
      </w:r>
    </w:p>
    <w:bookmarkEnd w:id="7"/>
    <w:p w14:paraId="711D8E8C"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 LEVANTAMENTO DE MERCADO</w:t>
      </w:r>
    </w:p>
    <w:p w14:paraId="15F28813"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Levantamento de mercado, que consiste na análise das alternativas possíveis, e justificativa técnica e econômica da escolha do tipo de solução a contratar. (inciso V do § 1° do art. 18 da Lei 14.133/2021).</w:t>
      </w:r>
    </w:p>
    <w:p w14:paraId="1FFA405B" w14:textId="77777777" w:rsidR="00C03DCC" w:rsidRPr="00220D18" w:rsidRDefault="00C03DCC" w:rsidP="00C03DCC">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Hlk176787935"/>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Como se trata de uma inexigibilidade de um serviço especializado com profissionais de notória especialização, não se tem como verificar o preço do serviço de um profissional correspondente. Portanto, a pesquisa foi realizada com valores daquela empresa, onde trabalha aquele profissional, respeitando o artigo 23, § 4º da lei federal 14.133/21.</w:t>
      </w:r>
    </w:p>
    <w:bookmarkEnd w:id="8"/>
    <w:p w14:paraId="6B3AB456" w14:textId="77777777" w:rsidR="00E30EF4" w:rsidRPr="00220D18" w:rsidRDefault="00E30EF4" w:rsidP="00E30EF4">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 ESTIMATIVA DO PREÇO DA CONTRATAÇÃO</w:t>
      </w:r>
    </w:p>
    <w:p w14:paraId="46252B45"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p>
    <w:p w14:paraId="24521856" w14:textId="77777777" w:rsidR="00C03DCC" w:rsidRPr="00220D18" w:rsidRDefault="00C03DCC" w:rsidP="00C03DCC">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Hlk176787948"/>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Pode se verificar neste procedimento, que pelas Notas Fiscais apresentadas da empresa a ser contratada, que o valor apresentado está dentro da média do valor cobrado por ela.</w:t>
      </w:r>
    </w:p>
    <w:bookmarkEnd w:id="9"/>
    <w:p w14:paraId="7F7E285C" w14:textId="77777777" w:rsidR="00E30EF4" w:rsidRPr="00220D18" w:rsidRDefault="00E30EF4" w:rsidP="00E30EF4">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 DESCRIÇÃO DA SOLUÇÃO COMO UM TODO</w:t>
      </w:r>
    </w:p>
    <w:p w14:paraId="25DF4E7B" w14:textId="58D5C11E"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Descrição da solução como um todo, inclusive das exigências relacionadas à manutenção e à assistência técnica, quando for o caso. (inciso VII do § 1° do art. 18 da Lei 14.133/21.</w:t>
      </w:r>
    </w:p>
    <w:p w14:paraId="114DAB8B" w14:textId="3B76312B" w:rsidR="00726D19" w:rsidRPr="00220D18" w:rsidRDefault="00726D19" w:rsidP="00E30EF4">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Hlk176788004"/>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partir dos aspectos apresentados até o momento, é possível concluir que a solução mais adequada para a demanda da Administração Pública, é a realização de inexigibilidade de licitação, nos termos do art. 74, III, “f”, da Lei nº 14.133/21. </w:t>
      </w:r>
    </w:p>
    <w:p w14:paraId="4ECEFD74" w14:textId="7B6107A7" w:rsidR="00726D19" w:rsidRPr="00220D18" w:rsidRDefault="00726D19" w:rsidP="00E30EF4">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Conforme já foi devidamente explanado no presente documento, restou caracterizada a inviabilidade de competição, por se tratar de serviço técnico especializado de natureza singular, oferecido por empresa/profissional com notória especialização, imprescindível à satisfação da demanda do Poder Público.   </w:t>
      </w:r>
    </w:p>
    <w:bookmarkEnd w:id="10"/>
    <w:p w14:paraId="604443F6" w14:textId="77777777" w:rsidR="00E30EF4" w:rsidRPr="00220D18" w:rsidRDefault="00E30EF4" w:rsidP="00E30EF4">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 JUSTIFICATIVA PARA PARCELAMENTO</w:t>
      </w:r>
    </w:p>
    <w:p w14:paraId="35F0151A"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Justificativas para o parcelamento ou não da solução. (inciso VIII do § 1° do art. 18 da Lei 14.133/21 e art. 7°, inciso VII da IN 40/2020).</w:t>
      </w:r>
    </w:p>
    <w:p w14:paraId="77885CF8" w14:textId="77777777" w:rsidR="00C03DCC" w:rsidRPr="00220D18" w:rsidRDefault="00C03DCC" w:rsidP="00C03DCC">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Hlk176788015"/>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É somente um item a ser prestado o serviço. Portanto não tem como parcelar.</w:t>
      </w:r>
    </w:p>
    <w:bookmarkEnd w:id="11"/>
    <w:p w14:paraId="31185BBA"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 DEMONSTRATIVO DOS RESULTADOS PRETENDIDOS</w:t>
      </w:r>
    </w:p>
    <w:p w14:paraId="0E83B9BA"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Demonstrativo dos resultados pretendidos em termos de economicidade e de melhor aproveitamento dos recursos humanos, materiais e financeiros disponíveis; (inciso IX do § 1° do art. 18 da Lei 14.133/21), bem como em termos de efetividade e de desenvolvimento nacional sustentável</w:t>
      </w:r>
    </w:p>
    <w:p w14:paraId="19EF90DF" w14:textId="77777777" w:rsidR="00C03DCC" w:rsidRPr="00220D18" w:rsidRDefault="00C03DCC" w:rsidP="00C03DCC">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Hlk176788024"/>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w:t>
      </w:r>
    </w:p>
    <w:bookmarkEnd w:id="12"/>
    <w:p w14:paraId="2BB059BF" w14:textId="77777777" w:rsidR="00E30EF4" w:rsidRPr="00220D18" w:rsidRDefault="00E30EF4" w:rsidP="00E30EF4">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 PROVIDÊNCIAS PRÉVIAS AO CONTRATO</w:t>
      </w:r>
    </w:p>
    <w:p w14:paraId="276FC5FC"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Providências a serem adotadas pela administração previamente à celebração do contrato, inclusive quanto à capacitação de servidores ou de empregados para fiscalização e gestão contratual ou adequação do ambiente da organização; (inciso X do § 1° do art. 18 da Lei 14.133/21).</w:t>
      </w:r>
    </w:p>
    <w:p w14:paraId="6EBBF953" w14:textId="77777777" w:rsidR="00C03DCC" w:rsidRPr="00220D18" w:rsidRDefault="00C03DCC" w:rsidP="00C03DCC">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Hlk176788032"/>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Deve-se verificar se o curso está mesmo marcado através de um folder apresentando o tema da referida contratação. Verificar a data do curso e também verificar a se os documentos estão em prazo vigente.</w:t>
      </w:r>
    </w:p>
    <w:bookmarkEnd w:id="13"/>
    <w:p w14:paraId="74E2CA70" w14:textId="77777777" w:rsidR="00E30EF4" w:rsidRPr="00220D18" w:rsidRDefault="00E30EF4" w:rsidP="00E30EF4">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 CONTRATAÇÕES CORRELATAS/INTERDEPENDENTES</w:t>
      </w:r>
    </w:p>
    <w:p w14:paraId="3B7D1C6E"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Contratações correlatas e/ou interdependentes. (inciso XI do § 1° do art. 18 da Lei 14.133/21).</w:t>
      </w:r>
    </w:p>
    <w:p w14:paraId="632DCBA2" w14:textId="77777777" w:rsidR="00C03DCC" w:rsidRPr="00220D18" w:rsidRDefault="00C03DCC" w:rsidP="00C03DCC">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Hlk176788042"/>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 para curso de capacitação. Não se tem como prever a data da realização de um curso ou até mesmo a vontade do servidor em estar nele, logo, não é possível prever contratações correlatas e/ou interdependentes.</w:t>
      </w:r>
    </w:p>
    <w:bookmarkEnd w:id="14"/>
    <w:p w14:paraId="44D178BC" w14:textId="77777777" w:rsidR="00E30EF4" w:rsidRPr="00220D18" w:rsidRDefault="00E30EF4" w:rsidP="00E30EF4">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 IMPACTOS AMBIENTAIS</w:t>
      </w:r>
    </w:p>
    <w:p w14:paraId="33118EB4"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Descrição de possíveis impactos ambientais e respectivas medidas mitigadoras, incluídos requisitos de baixo consumo de energia e de outros recursos, bem como logística reversa para desfazimento e reciclagem de bens e refugos, quando aplicável. (inciso XII do § 1° do art. 18 da Lei 14.133/21)</w:t>
      </w:r>
    </w:p>
    <w:p w14:paraId="4749897E" w14:textId="77777777" w:rsidR="00C03DCC" w:rsidRPr="00220D18" w:rsidRDefault="00C03DCC" w:rsidP="00C03DCC">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Hlk176788051"/>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w:t>
      </w:r>
    </w:p>
    <w:bookmarkEnd w:id="15"/>
    <w:p w14:paraId="5EDD57E0" w14:textId="77777777" w:rsidR="00E30EF4" w:rsidRPr="00220D18" w:rsidRDefault="00E30EF4" w:rsidP="00E30EF4">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 VIABILIDADE DA CONTRATAÇÃO</w:t>
      </w:r>
    </w:p>
    <w:p w14:paraId="6C812083" w14:textId="77777777" w:rsidR="00E30EF4" w:rsidRPr="00220D18" w:rsidRDefault="00E30EF4" w:rsidP="00E30EF4">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Posicionamento conclusivo sobre a adequação da contratação para o atendimento da necessidade a que se destina. (inciso XIII do § 1° do art. 18 da Lei 14.133/21)</w:t>
      </w:r>
    </w:p>
    <w:p w14:paraId="30C93043" w14:textId="77777777" w:rsidR="00E30EF4" w:rsidRPr="00220D18" w:rsidRDefault="00E30EF4" w:rsidP="00E30EF4">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Posicionamento conclusivo sobre a viabilidade e razoabilidade da contratação. (Art. 7°, inciso XIII da IN 40/2020)</w:t>
      </w:r>
    </w:p>
    <w:p w14:paraId="7F8369A4" w14:textId="28166CD0" w:rsidR="005B1497" w:rsidRPr="00512059" w:rsidRDefault="00C03DCC" w:rsidP="00E30EF4">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 w:name="_Hlk176788069"/>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contratação é de um curso de capacitação de servidor público. A empresa possui uma especialização técnica especializado de natureza predominantemente intelectual de notória especialização. A contratação se refere a um treinamento, um aperfeiçoamento de um servidor desta Casa de Leis. A lei 14.133/21 permite tal contratação como compra direta do tipo inexigibilidade. Portanto, pode-se contratar tal empresa via Inexigibilidade presente no artigo 74, inciso III, alínea “f</w:t>
      </w:r>
      <w:proofErr w:type="gramStart"/>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16"/>
      <w:proofErr w:type="gramEnd"/>
    </w:p>
    <w:p w14:paraId="7A8729B6" w14:textId="3FBE3852" w:rsidR="00E30EF4" w:rsidRPr="00220D18" w:rsidRDefault="00E30EF4" w:rsidP="00E30EF4">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 RESPONSÁVEIS</w:t>
      </w:r>
    </w:p>
    <w:p w14:paraId="1DC1E106" w14:textId="6A53E791" w:rsidR="003B2204" w:rsidRPr="00B25C18" w:rsidRDefault="00B25C18" w:rsidP="00C03DCC">
      <w:pPr>
        <w:spacing w:before="120" w:after="120" w:line="360" w:lineRule="auto"/>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7" w:name="_Hlk176788083"/>
      <w:r w:rsidRPr="00B25C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Sandra Lúcia Ferreira Dias</w:t>
      </w:r>
    </w:p>
    <w:p w14:paraId="3FF19916" w14:textId="0A32482E" w:rsidR="00C03DCC" w:rsidRPr="00220D18" w:rsidRDefault="00C03DCC" w:rsidP="003B2204">
      <w:pPr>
        <w:spacing w:before="120" w:after="120" w:line="360" w:lineRule="auto"/>
        <w:ind w:left="2124" w:firstLine="708"/>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Patrocínio, </w:t>
      </w:r>
      <w:r w:rsidR="0020640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3B220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w:t>
      </w:r>
      <w:r w:rsidR="0020640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fever</w:t>
      </w:r>
      <w:r w:rsidR="00B25C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eiro</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202</w:t>
      </w:r>
      <w:r w:rsidR="00B25C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109E3E80" w14:textId="77777777" w:rsidR="00C03DCC" w:rsidRPr="00220D18" w:rsidRDefault="00C03DCC" w:rsidP="00C03DCC">
      <w:pPr>
        <w:contextualSpacing/>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26D297" w14:textId="77777777" w:rsidR="00B25C18" w:rsidRPr="00B25C18" w:rsidRDefault="00B25C18" w:rsidP="00B25C18">
      <w:pPr>
        <w:contextualSpacing/>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5C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Sandra Lúcia Ferreira Dias</w:t>
      </w:r>
    </w:p>
    <w:p w14:paraId="2DD4594D" w14:textId="00A8A731" w:rsidR="0058625C" w:rsidRPr="00220D18" w:rsidRDefault="00C03DCC" w:rsidP="00C03DCC">
      <w:pPr>
        <w:contextualSpacing/>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Chefe do Setor de Compras e Licitações</w:t>
      </w:r>
      <w:bookmarkEnd w:id="17"/>
    </w:p>
    <w:sectPr w:rsidR="0058625C" w:rsidRPr="00220D1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A688C" w14:textId="77777777" w:rsidR="002870EC" w:rsidRDefault="002870EC" w:rsidP="0077535B">
      <w:r>
        <w:separator/>
      </w:r>
    </w:p>
  </w:endnote>
  <w:endnote w:type="continuationSeparator" w:id="0">
    <w:p w14:paraId="2A3DA192" w14:textId="77777777" w:rsidR="002870EC" w:rsidRDefault="002870EC" w:rsidP="0077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DFB1" w14:textId="77777777" w:rsidR="00206403" w:rsidRPr="00D24B5A" w:rsidRDefault="00206403" w:rsidP="00206403">
    <w:pPr>
      <w:pStyle w:val="Rodap"/>
      <w:jc w:val="center"/>
      <w:rPr>
        <w:rFonts w:ascii="Arial" w:hAnsi="Arial" w:cs="Arial"/>
        <w:b/>
        <w:sz w:val="16"/>
        <w:szCs w:val="16"/>
      </w:rPr>
    </w:pPr>
    <w:r w:rsidRPr="00D3281E">
      <w:rPr>
        <w:rFonts w:ascii="Arial" w:hAnsi="Arial" w:cs="Arial"/>
        <w:b/>
        <w:bCs/>
        <w:color w:val="2C363A"/>
        <w:sz w:val="16"/>
        <w:szCs w:val="16"/>
      </w:rPr>
      <w:t>Rua Joaquim Carlos dos Santos, 199</w:t>
    </w:r>
    <w:r>
      <w:rPr>
        <w:rFonts w:ascii="Arial" w:hAnsi="Arial" w:cs="Arial"/>
        <w:b/>
        <w:bCs/>
        <w:color w:val="2C363A"/>
        <w:sz w:val="16"/>
        <w:szCs w:val="16"/>
      </w:rPr>
      <w:t xml:space="preserve"> </w:t>
    </w:r>
    <w:r w:rsidRPr="00D24B5A">
      <w:rPr>
        <w:rFonts w:ascii="Arial" w:hAnsi="Arial" w:cs="Arial"/>
        <w:b/>
        <w:sz w:val="16"/>
        <w:szCs w:val="16"/>
      </w:rPr>
      <w:t>–</w:t>
    </w:r>
    <w:r>
      <w:rPr>
        <w:rFonts w:ascii="Arial" w:hAnsi="Arial" w:cs="Arial"/>
        <w:b/>
        <w:sz w:val="16"/>
        <w:szCs w:val="16"/>
      </w:rPr>
      <w:t xml:space="preserve"> F</w:t>
    </w:r>
    <w:r w:rsidRPr="00D24B5A">
      <w:rPr>
        <w:rFonts w:ascii="Arial" w:hAnsi="Arial" w:cs="Arial"/>
        <w:b/>
        <w:sz w:val="16"/>
        <w:szCs w:val="16"/>
      </w:rPr>
      <w:t>one:</w:t>
    </w:r>
    <w:r>
      <w:rPr>
        <w:rFonts w:ascii="Arial" w:hAnsi="Arial" w:cs="Arial"/>
        <w:b/>
        <w:sz w:val="16"/>
        <w:szCs w:val="16"/>
      </w:rPr>
      <w:t xml:space="preserve"> </w:t>
    </w:r>
    <w:r w:rsidRPr="00D24B5A">
      <w:rPr>
        <w:rFonts w:ascii="Arial" w:hAnsi="Arial" w:cs="Arial"/>
        <w:b/>
        <w:sz w:val="16"/>
        <w:szCs w:val="16"/>
      </w:rPr>
      <w:t>(34)</w:t>
    </w:r>
    <w:r>
      <w:rPr>
        <w:rFonts w:ascii="Arial" w:hAnsi="Arial" w:cs="Arial"/>
        <w:b/>
        <w:sz w:val="16"/>
        <w:szCs w:val="16"/>
      </w:rPr>
      <w:t xml:space="preserve"> 3515-3200 </w:t>
    </w:r>
    <w:r w:rsidRPr="00D24B5A">
      <w:rPr>
        <w:rFonts w:ascii="Arial" w:hAnsi="Arial" w:cs="Arial"/>
        <w:b/>
        <w:sz w:val="16"/>
        <w:szCs w:val="16"/>
      </w:rPr>
      <w:t>–</w:t>
    </w:r>
    <w:r>
      <w:rPr>
        <w:rFonts w:ascii="Arial" w:hAnsi="Arial" w:cs="Arial"/>
        <w:b/>
        <w:sz w:val="16"/>
        <w:szCs w:val="16"/>
      </w:rPr>
      <w:t xml:space="preserve"> </w:t>
    </w:r>
    <w:r w:rsidRPr="00D24B5A">
      <w:rPr>
        <w:rFonts w:ascii="Arial" w:hAnsi="Arial" w:cs="Arial"/>
        <w:b/>
        <w:sz w:val="16"/>
        <w:szCs w:val="16"/>
      </w:rPr>
      <w:t>e-mail: contato@cmpatrocinio.mg.gov.br</w:t>
    </w:r>
  </w:p>
  <w:p w14:paraId="3247731A" w14:textId="77777777" w:rsidR="00206403" w:rsidRPr="00D3281E" w:rsidRDefault="00206403" w:rsidP="00206403">
    <w:pPr>
      <w:pStyle w:val="v1msonormal"/>
      <w:shd w:val="clear" w:color="auto" w:fill="FFFFFF"/>
      <w:spacing w:before="0" w:beforeAutospacing="0" w:after="0" w:afterAutospacing="0"/>
      <w:jc w:val="center"/>
      <w:rPr>
        <w:rFonts w:ascii="Arial" w:hAnsi="Arial" w:cs="Arial"/>
        <w:color w:val="2C363A"/>
        <w:sz w:val="16"/>
        <w:szCs w:val="16"/>
      </w:rPr>
    </w:pPr>
    <w:r w:rsidRPr="00D3281E">
      <w:rPr>
        <w:rFonts w:ascii="Arial" w:hAnsi="Arial" w:cs="Arial"/>
        <w:b/>
        <w:bCs/>
        <w:color w:val="2C363A"/>
        <w:sz w:val="16"/>
        <w:szCs w:val="16"/>
      </w:rPr>
      <w:t>Cidade Jardim. CEP 38747-056</w:t>
    </w:r>
    <w:r w:rsidRPr="00D3281E">
      <w:rPr>
        <w:rFonts w:ascii="Arial" w:hAnsi="Arial" w:cs="Arial"/>
        <w:color w:val="2C363A"/>
        <w:sz w:val="16"/>
        <w:szCs w:val="16"/>
      </w:rPr>
      <w:t>.</w:t>
    </w:r>
  </w:p>
  <w:p w14:paraId="7CED5A8D" w14:textId="77777777" w:rsidR="00206403" w:rsidRDefault="002064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E6F8A" w14:textId="77777777" w:rsidR="002870EC" w:rsidRDefault="002870EC" w:rsidP="0077535B">
      <w:r>
        <w:separator/>
      </w:r>
    </w:p>
  </w:footnote>
  <w:footnote w:type="continuationSeparator" w:id="0">
    <w:p w14:paraId="751BC0FC" w14:textId="77777777" w:rsidR="002870EC" w:rsidRDefault="002870EC" w:rsidP="00775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1574" w14:textId="77777777" w:rsidR="00206403" w:rsidRDefault="00206403" w:rsidP="00206403">
    <w:pPr>
      <w:pStyle w:val="Cabealho"/>
    </w:pPr>
    <w:r>
      <w:rPr>
        <w:noProof/>
      </w:rPr>
      <w:drawing>
        <wp:anchor distT="0" distB="0" distL="114300" distR="114300" simplePos="0" relativeHeight="251659264" behindDoc="1" locked="0" layoutInCell="1" allowOverlap="1" wp14:anchorId="22D7F1C8" wp14:editId="51634379">
          <wp:simplePos x="0" y="0"/>
          <wp:positionH relativeFrom="column">
            <wp:posOffset>74930</wp:posOffset>
          </wp:positionH>
          <wp:positionV relativeFrom="paragraph">
            <wp:posOffset>6985</wp:posOffset>
          </wp:positionV>
          <wp:extent cx="720725" cy="749935"/>
          <wp:effectExtent l="0" t="0" r="3175" b="0"/>
          <wp:wrapSquare wrapText="bothSides"/>
          <wp:docPr id="4" name="Imagem 4" descr="Brasao p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 cy="749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A3000C" w14:textId="77777777" w:rsidR="00206403" w:rsidRPr="00D3281E" w:rsidRDefault="00206403" w:rsidP="00206403">
    <w:pPr>
      <w:pStyle w:val="Cabealho"/>
      <w:rPr>
        <w:rFonts w:ascii="Arial" w:hAnsi="Arial" w:cs="Arial"/>
        <w:b/>
        <w:sz w:val="36"/>
        <w:szCs w:val="36"/>
        <w:u w:val="single"/>
      </w:rPr>
    </w:pPr>
    <w:r>
      <w:t xml:space="preserve">   </w:t>
    </w:r>
    <w:r w:rsidRPr="00D3281E">
      <w:rPr>
        <w:rFonts w:ascii="Arial" w:hAnsi="Arial" w:cs="Arial"/>
        <w:b/>
        <w:sz w:val="36"/>
        <w:szCs w:val="36"/>
        <w:u w:val="single"/>
      </w:rPr>
      <w:t>CÂMARA MUNICIPAL DE PATROCÍNIO</w:t>
    </w:r>
  </w:p>
  <w:p w14:paraId="6D459E54" w14:textId="77777777" w:rsidR="00206403" w:rsidRPr="00D24B5A" w:rsidRDefault="00206403" w:rsidP="00206403">
    <w:pPr>
      <w:pStyle w:val="Cabealho"/>
      <w:jc w:val="center"/>
      <w:rPr>
        <w:rFonts w:ascii="Arial" w:hAnsi="Arial" w:cs="Arial"/>
        <w:b/>
      </w:rPr>
    </w:pPr>
    <w:r>
      <w:rPr>
        <w:rFonts w:ascii="Arial" w:hAnsi="Arial" w:cs="Arial"/>
        <w:b/>
      </w:rPr>
      <w:t xml:space="preserve"> </w:t>
    </w:r>
    <w:r w:rsidRPr="00D24B5A">
      <w:rPr>
        <w:rFonts w:ascii="Arial" w:hAnsi="Arial" w:cs="Arial"/>
        <w:b/>
      </w:rPr>
      <w:t>ESTADO DE MINAS GERAIS</w:t>
    </w:r>
  </w:p>
  <w:p w14:paraId="34E04A8C" w14:textId="77777777" w:rsidR="00206403" w:rsidRDefault="002064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E0FCE"/>
    <w:multiLevelType w:val="multilevel"/>
    <w:tmpl w:val="F764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34185"/>
    <w:multiLevelType w:val="multilevel"/>
    <w:tmpl w:val="9E246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B1176E"/>
    <w:multiLevelType w:val="multilevel"/>
    <w:tmpl w:val="0922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917735">
    <w:abstractNumId w:val="1"/>
  </w:num>
  <w:num w:numId="2" w16cid:durableId="981035551">
    <w:abstractNumId w:val="0"/>
  </w:num>
  <w:num w:numId="3" w16cid:durableId="1344359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F4"/>
    <w:rsid w:val="00010AA0"/>
    <w:rsid w:val="000975BA"/>
    <w:rsid w:val="000C6F7C"/>
    <w:rsid w:val="000F72E7"/>
    <w:rsid w:val="001004E3"/>
    <w:rsid w:val="00147987"/>
    <w:rsid w:val="00153DBA"/>
    <w:rsid w:val="00206403"/>
    <w:rsid w:val="00220D18"/>
    <w:rsid w:val="00277CC6"/>
    <w:rsid w:val="002870EC"/>
    <w:rsid w:val="002A4734"/>
    <w:rsid w:val="002C2F8E"/>
    <w:rsid w:val="003136C3"/>
    <w:rsid w:val="003413DC"/>
    <w:rsid w:val="003662CD"/>
    <w:rsid w:val="00392C59"/>
    <w:rsid w:val="003A66B0"/>
    <w:rsid w:val="003B2204"/>
    <w:rsid w:val="00407D03"/>
    <w:rsid w:val="00413138"/>
    <w:rsid w:val="00426A37"/>
    <w:rsid w:val="00471C3B"/>
    <w:rsid w:val="004A53E0"/>
    <w:rsid w:val="00511B5F"/>
    <w:rsid w:val="00512059"/>
    <w:rsid w:val="00533F87"/>
    <w:rsid w:val="0058625C"/>
    <w:rsid w:val="005B1497"/>
    <w:rsid w:val="005E2859"/>
    <w:rsid w:val="006255FB"/>
    <w:rsid w:val="00666FD7"/>
    <w:rsid w:val="006A40AF"/>
    <w:rsid w:val="006D2EC5"/>
    <w:rsid w:val="006F3E47"/>
    <w:rsid w:val="00714963"/>
    <w:rsid w:val="00726D19"/>
    <w:rsid w:val="00731E9D"/>
    <w:rsid w:val="00765D26"/>
    <w:rsid w:val="00774431"/>
    <w:rsid w:val="0077535B"/>
    <w:rsid w:val="00785ABC"/>
    <w:rsid w:val="00787672"/>
    <w:rsid w:val="007C176B"/>
    <w:rsid w:val="007F4FB7"/>
    <w:rsid w:val="00853DB6"/>
    <w:rsid w:val="00895C64"/>
    <w:rsid w:val="008E6AD4"/>
    <w:rsid w:val="00960C3F"/>
    <w:rsid w:val="00985C7E"/>
    <w:rsid w:val="009A4A36"/>
    <w:rsid w:val="009D4CC7"/>
    <w:rsid w:val="009E11BC"/>
    <w:rsid w:val="009F0142"/>
    <w:rsid w:val="00A01C11"/>
    <w:rsid w:val="00A13B4E"/>
    <w:rsid w:val="00A74CEC"/>
    <w:rsid w:val="00B25C18"/>
    <w:rsid w:val="00BC6F60"/>
    <w:rsid w:val="00BE6BBE"/>
    <w:rsid w:val="00C03DCC"/>
    <w:rsid w:val="00C12735"/>
    <w:rsid w:val="00C24A8C"/>
    <w:rsid w:val="00C42D47"/>
    <w:rsid w:val="00C621B7"/>
    <w:rsid w:val="00CB3D88"/>
    <w:rsid w:val="00CB49E6"/>
    <w:rsid w:val="00CE0368"/>
    <w:rsid w:val="00D27D86"/>
    <w:rsid w:val="00D343E2"/>
    <w:rsid w:val="00D63822"/>
    <w:rsid w:val="00D6522B"/>
    <w:rsid w:val="00DB7BDC"/>
    <w:rsid w:val="00E01C1B"/>
    <w:rsid w:val="00E13158"/>
    <w:rsid w:val="00E30EF4"/>
    <w:rsid w:val="00E829FF"/>
    <w:rsid w:val="00EA132A"/>
    <w:rsid w:val="00F36E92"/>
    <w:rsid w:val="00F5448F"/>
    <w:rsid w:val="00F96C3C"/>
    <w:rsid w:val="00FA46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9E9E"/>
  <w15:chartTrackingRefBased/>
  <w15:docId w15:val="{0B07CB5B-EAA7-4E28-9215-9339B604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0EF4"/>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Ttulo4">
    <w:name w:val="heading 4"/>
    <w:basedOn w:val="Normal"/>
    <w:next w:val="Normal"/>
    <w:link w:val="Ttulo4Char"/>
    <w:uiPriority w:val="9"/>
    <w:semiHidden/>
    <w:unhideWhenUsed/>
    <w:qFormat/>
    <w:rsid w:val="00C42D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qFormat/>
    <w:rsid w:val="00E30EF4"/>
    <w:pPr>
      <w:ind w:left="720"/>
      <w:contextualSpacing/>
    </w:pPr>
  </w:style>
  <w:style w:type="character" w:customStyle="1" w:styleId="PargrafodaListaChar">
    <w:name w:val="Parágrafo da Lista Char"/>
    <w:basedOn w:val="Fontepargpadro"/>
    <w:link w:val="PargrafodaLista"/>
    <w:rsid w:val="00E30EF4"/>
    <w:rPr>
      <w:rFonts w:ascii="Ecofont_Spranq_eco_Sans" w:eastAsia="Times New Roman" w:hAnsi="Ecofont_Spranq_eco_Sans" w:cs="Tahoma"/>
      <w:kern w:val="0"/>
      <w:sz w:val="24"/>
      <w:szCs w:val="24"/>
      <w:lang w:eastAsia="pt-BR"/>
      <w14:ligatures w14:val="none"/>
    </w:rPr>
  </w:style>
  <w:style w:type="paragraph" w:customStyle="1" w:styleId="Textbody">
    <w:name w:val="Text body"/>
    <w:basedOn w:val="Normal"/>
    <w:rsid w:val="00E30EF4"/>
    <w:pPr>
      <w:suppressAutoHyphens/>
      <w:autoSpaceDN w:val="0"/>
      <w:spacing w:after="140" w:line="276" w:lineRule="auto"/>
    </w:pPr>
    <w:rPr>
      <w:rFonts w:ascii="Liberation Serif" w:eastAsia="NSimSun" w:hAnsi="Liberation Serif" w:cs="Lucida Sans"/>
      <w:kern w:val="3"/>
      <w:lang w:eastAsia="zh-CN" w:bidi="hi-IN"/>
    </w:rPr>
  </w:style>
  <w:style w:type="paragraph" w:customStyle="1" w:styleId="Default">
    <w:name w:val="Default"/>
    <w:rsid w:val="00E30EF4"/>
    <w:pPr>
      <w:autoSpaceDE w:val="0"/>
      <w:autoSpaceDN w:val="0"/>
      <w:spacing w:after="0" w:line="240" w:lineRule="auto"/>
    </w:pPr>
    <w:rPr>
      <w:rFonts w:ascii="Times New Roman" w:eastAsia="Calibri" w:hAnsi="Times New Roman" w:cs="Times New Roman"/>
      <w:color w:val="000000"/>
      <w:kern w:val="0"/>
      <w:sz w:val="24"/>
      <w:szCs w:val="24"/>
      <w14:ligatures w14:val="none"/>
    </w:rPr>
  </w:style>
  <w:style w:type="character" w:customStyle="1" w:styleId="Ttulo4Char">
    <w:name w:val="Título 4 Char"/>
    <w:basedOn w:val="Fontepargpadro"/>
    <w:link w:val="Ttulo4"/>
    <w:uiPriority w:val="9"/>
    <w:semiHidden/>
    <w:rsid w:val="00C42D47"/>
    <w:rPr>
      <w:rFonts w:asciiTheme="majorHAnsi" w:eastAsiaTheme="majorEastAsia" w:hAnsiTheme="majorHAnsi" w:cstheme="majorBidi"/>
      <w:i/>
      <w:iCs/>
      <w:color w:val="2F5496" w:themeColor="accent1" w:themeShade="BF"/>
      <w:kern w:val="0"/>
      <w:sz w:val="24"/>
      <w:szCs w:val="24"/>
      <w:lang w:eastAsia="pt-BR"/>
      <w14:ligatures w14:val="none"/>
    </w:rPr>
  </w:style>
  <w:style w:type="paragraph" w:styleId="Cabealho">
    <w:name w:val="header"/>
    <w:basedOn w:val="Normal"/>
    <w:link w:val="CabealhoChar"/>
    <w:uiPriority w:val="99"/>
    <w:unhideWhenUsed/>
    <w:rsid w:val="0077535B"/>
    <w:pPr>
      <w:tabs>
        <w:tab w:val="center" w:pos="4252"/>
        <w:tab w:val="right" w:pos="8504"/>
      </w:tabs>
    </w:pPr>
  </w:style>
  <w:style w:type="character" w:customStyle="1" w:styleId="CabealhoChar">
    <w:name w:val="Cabeçalho Char"/>
    <w:basedOn w:val="Fontepargpadro"/>
    <w:link w:val="Cabealho"/>
    <w:uiPriority w:val="99"/>
    <w:rsid w:val="0077535B"/>
    <w:rPr>
      <w:rFonts w:ascii="Ecofont_Spranq_eco_Sans" w:eastAsia="Times New Roman" w:hAnsi="Ecofont_Spranq_eco_Sans" w:cs="Tahoma"/>
      <w:kern w:val="0"/>
      <w:sz w:val="24"/>
      <w:szCs w:val="24"/>
      <w:lang w:eastAsia="pt-BR"/>
      <w14:ligatures w14:val="none"/>
    </w:rPr>
  </w:style>
  <w:style w:type="paragraph" w:styleId="Rodap">
    <w:name w:val="footer"/>
    <w:basedOn w:val="Normal"/>
    <w:link w:val="RodapChar"/>
    <w:uiPriority w:val="99"/>
    <w:unhideWhenUsed/>
    <w:rsid w:val="0077535B"/>
    <w:pPr>
      <w:tabs>
        <w:tab w:val="center" w:pos="4252"/>
        <w:tab w:val="right" w:pos="8504"/>
      </w:tabs>
    </w:pPr>
  </w:style>
  <w:style w:type="character" w:customStyle="1" w:styleId="RodapChar">
    <w:name w:val="Rodapé Char"/>
    <w:basedOn w:val="Fontepargpadro"/>
    <w:link w:val="Rodap"/>
    <w:uiPriority w:val="99"/>
    <w:rsid w:val="0077535B"/>
    <w:rPr>
      <w:rFonts w:ascii="Ecofont_Spranq_eco_Sans" w:eastAsia="Times New Roman" w:hAnsi="Ecofont_Spranq_eco_Sans" w:cs="Tahoma"/>
      <w:kern w:val="0"/>
      <w:sz w:val="24"/>
      <w:szCs w:val="24"/>
      <w:lang w:eastAsia="pt-BR"/>
      <w14:ligatures w14:val="none"/>
    </w:rPr>
  </w:style>
  <w:style w:type="paragraph" w:customStyle="1" w:styleId="v1msonormal">
    <w:name w:val="v1msonormal"/>
    <w:basedOn w:val="Normal"/>
    <w:rsid w:val="00206403"/>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0014">
      <w:bodyDiv w:val="1"/>
      <w:marLeft w:val="0"/>
      <w:marRight w:val="0"/>
      <w:marTop w:val="0"/>
      <w:marBottom w:val="0"/>
      <w:divBdr>
        <w:top w:val="none" w:sz="0" w:space="0" w:color="auto"/>
        <w:left w:val="none" w:sz="0" w:space="0" w:color="auto"/>
        <w:bottom w:val="none" w:sz="0" w:space="0" w:color="auto"/>
        <w:right w:val="none" w:sz="0" w:space="0" w:color="auto"/>
      </w:divBdr>
      <w:divsChild>
        <w:div w:id="7417249">
          <w:marLeft w:val="446"/>
          <w:marRight w:val="0"/>
          <w:marTop w:val="0"/>
          <w:marBottom w:val="160"/>
          <w:divBdr>
            <w:top w:val="none" w:sz="0" w:space="0" w:color="auto"/>
            <w:left w:val="none" w:sz="0" w:space="0" w:color="auto"/>
            <w:bottom w:val="none" w:sz="0" w:space="0" w:color="auto"/>
            <w:right w:val="none" w:sz="0" w:space="0" w:color="auto"/>
          </w:divBdr>
          <w:divsChild>
            <w:div w:id="1788889263">
              <w:marLeft w:val="446"/>
              <w:marRight w:val="0"/>
              <w:marTop w:val="0"/>
              <w:marBottom w:val="160"/>
              <w:divBdr>
                <w:top w:val="none" w:sz="0" w:space="0" w:color="auto"/>
                <w:left w:val="none" w:sz="0" w:space="0" w:color="auto"/>
                <w:bottom w:val="none" w:sz="0" w:space="0" w:color="auto"/>
                <w:right w:val="none" w:sz="0" w:space="0" w:color="auto"/>
              </w:divBdr>
            </w:div>
            <w:div w:id="2003190750">
              <w:marLeft w:val="446"/>
              <w:marRight w:val="0"/>
              <w:marTop w:val="0"/>
              <w:marBottom w:val="160"/>
              <w:divBdr>
                <w:top w:val="none" w:sz="0" w:space="0" w:color="auto"/>
                <w:left w:val="none" w:sz="0" w:space="0" w:color="auto"/>
                <w:bottom w:val="none" w:sz="0" w:space="0" w:color="auto"/>
                <w:right w:val="none" w:sz="0" w:space="0" w:color="auto"/>
              </w:divBdr>
            </w:div>
            <w:div w:id="815144782">
              <w:marLeft w:val="446"/>
              <w:marRight w:val="0"/>
              <w:marTop w:val="0"/>
              <w:marBottom w:val="160"/>
              <w:divBdr>
                <w:top w:val="none" w:sz="0" w:space="0" w:color="auto"/>
                <w:left w:val="none" w:sz="0" w:space="0" w:color="auto"/>
                <w:bottom w:val="none" w:sz="0" w:space="0" w:color="auto"/>
                <w:right w:val="none" w:sz="0" w:space="0" w:color="auto"/>
              </w:divBdr>
            </w:div>
          </w:divsChild>
        </w:div>
      </w:divsChild>
    </w:div>
    <w:div w:id="294531551">
      <w:bodyDiv w:val="1"/>
      <w:marLeft w:val="0"/>
      <w:marRight w:val="0"/>
      <w:marTop w:val="0"/>
      <w:marBottom w:val="0"/>
      <w:divBdr>
        <w:top w:val="none" w:sz="0" w:space="0" w:color="auto"/>
        <w:left w:val="none" w:sz="0" w:space="0" w:color="auto"/>
        <w:bottom w:val="none" w:sz="0" w:space="0" w:color="auto"/>
        <w:right w:val="none" w:sz="0" w:space="0" w:color="auto"/>
      </w:divBdr>
      <w:divsChild>
        <w:div w:id="1834250935">
          <w:marLeft w:val="446"/>
          <w:marRight w:val="0"/>
          <w:marTop w:val="0"/>
          <w:marBottom w:val="160"/>
          <w:divBdr>
            <w:top w:val="none" w:sz="0" w:space="0" w:color="auto"/>
            <w:left w:val="none" w:sz="0" w:space="0" w:color="auto"/>
            <w:bottom w:val="none" w:sz="0" w:space="0" w:color="auto"/>
            <w:right w:val="none" w:sz="0" w:space="0" w:color="auto"/>
          </w:divBdr>
          <w:divsChild>
            <w:div w:id="77486453">
              <w:marLeft w:val="446"/>
              <w:marRight w:val="0"/>
              <w:marTop w:val="0"/>
              <w:marBottom w:val="160"/>
              <w:divBdr>
                <w:top w:val="none" w:sz="0" w:space="0" w:color="auto"/>
                <w:left w:val="none" w:sz="0" w:space="0" w:color="auto"/>
                <w:bottom w:val="none" w:sz="0" w:space="0" w:color="auto"/>
                <w:right w:val="none" w:sz="0" w:space="0" w:color="auto"/>
              </w:divBdr>
            </w:div>
            <w:div w:id="213856716">
              <w:marLeft w:val="446"/>
              <w:marRight w:val="0"/>
              <w:marTop w:val="0"/>
              <w:marBottom w:val="160"/>
              <w:divBdr>
                <w:top w:val="none" w:sz="0" w:space="0" w:color="auto"/>
                <w:left w:val="none" w:sz="0" w:space="0" w:color="auto"/>
                <w:bottom w:val="none" w:sz="0" w:space="0" w:color="auto"/>
                <w:right w:val="none" w:sz="0" w:space="0" w:color="auto"/>
              </w:divBdr>
            </w:div>
            <w:div w:id="1783766688">
              <w:marLeft w:val="446"/>
              <w:marRight w:val="0"/>
              <w:marTop w:val="0"/>
              <w:marBottom w:val="160"/>
              <w:divBdr>
                <w:top w:val="none" w:sz="0" w:space="0" w:color="auto"/>
                <w:left w:val="none" w:sz="0" w:space="0" w:color="auto"/>
                <w:bottom w:val="none" w:sz="0" w:space="0" w:color="auto"/>
                <w:right w:val="none" w:sz="0" w:space="0" w:color="auto"/>
              </w:divBdr>
            </w:div>
          </w:divsChild>
        </w:div>
      </w:divsChild>
    </w:div>
    <w:div w:id="515266363">
      <w:bodyDiv w:val="1"/>
      <w:marLeft w:val="0"/>
      <w:marRight w:val="0"/>
      <w:marTop w:val="0"/>
      <w:marBottom w:val="0"/>
      <w:divBdr>
        <w:top w:val="none" w:sz="0" w:space="0" w:color="auto"/>
        <w:left w:val="none" w:sz="0" w:space="0" w:color="auto"/>
        <w:bottom w:val="none" w:sz="0" w:space="0" w:color="auto"/>
        <w:right w:val="none" w:sz="0" w:space="0" w:color="auto"/>
      </w:divBdr>
      <w:divsChild>
        <w:div w:id="561909188">
          <w:marLeft w:val="475"/>
          <w:marRight w:val="0"/>
          <w:marTop w:val="21"/>
          <w:marBottom w:val="0"/>
          <w:divBdr>
            <w:top w:val="none" w:sz="0" w:space="0" w:color="auto"/>
            <w:left w:val="none" w:sz="0" w:space="0" w:color="auto"/>
            <w:bottom w:val="none" w:sz="0" w:space="0" w:color="auto"/>
            <w:right w:val="none" w:sz="0" w:space="0" w:color="auto"/>
          </w:divBdr>
        </w:div>
        <w:div w:id="661277848">
          <w:marLeft w:val="475"/>
          <w:marRight w:val="0"/>
          <w:marTop w:val="21"/>
          <w:marBottom w:val="0"/>
          <w:divBdr>
            <w:top w:val="none" w:sz="0" w:space="0" w:color="auto"/>
            <w:left w:val="none" w:sz="0" w:space="0" w:color="auto"/>
            <w:bottom w:val="none" w:sz="0" w:space="0" w:color="auto"/>
            <w:right w:val="none" w:sz="0" w:space="0" w:color="auto"/>
          </w:divBdr>
        </w:div>
        <w:div w:id="40717308">
          <w:marLeft w:val="475"/>
          <w:marRight w:val="0"/>
          <w:marTop w:val="21"/>
          <w:marBottom w:val="0"/>
          <w:divBdr>
            <w:top w:val="none" w:sz="0" w:space="0" w:color="auto"/>
            <w:left w:val="none" w:sz="0" w:space="0" w:color="auto"/>
            <w:bottom w:val="none" w:sz="0" w:space="0" w:color="auto"/>
            <w:right w:val="none" w:sz="0" w:space="0" w:color="auto"/>
          </w:divBdr>
        </w:div>
      </w:divsChild>
    </w:div>
    <w:div w:id="550926821">
      <w:bodyDiv w:val="1"/>
      <w:marLeft w:val="0"/>
      <w:marRight w:val="0"/>
      <w:marTop w:val="0"/>
      <w:marBottom w:val="0"/>
      <w:divBdr>
        <w:top w:val="none" w:sz="0" w:space="0" w:color="auto"/>
        <w:left w:val="none" w:sz="0" w:space="0" w:color="auto"/>
        <w:bottom w:val="none" w:sz="0" w:space="0" w:color="auto"/>
        <w:right w:val="none" w:sz="0" w:space="0" w:color="auto"/>
      </w:divBdr>
      <w:divsChild>
        <w:div w:id="1097945438">
          <w:marLeft w:val="475"/>
          <w:marRight w:val="0"/>
          <w:marTop w:val="21"/>
          <w:marBottom w:val="0"/>
          <w:divBdr>
            <w:top w:val="none" w:sz="0" w:space="0" w:color="auto"/>
            <w:left w:val="none" w:sz="0" w:space="0" w:color="auto"/>
            <w:bottom w:val="none" w:sz="0" w:space="0" w:color="auto"/>
            <w:right w:val="none" w:sz="0" w:space="0" w:color="auto"/>
          </w:divBdr>
        </w:div>
        <w:div w:id="590048929">
          <w:marLeft w:val="475"/>
          <w:marRight w:val="0"/>
          <w:marTop w:val="21"/>
          <w:marBottom w:val="0"/>
          <w:divBdr>
            <w:top w:val="none" w:sz="0" w:space="0" w:color="auto"/>
            <w:left w:val="none" w:sz="0" w:space="0" w:color="auto"/>
            <w:bottom w:val="none" w:sz="0" w:space="0" w:color="auto"/>
            <w:right w:val="none" w:sz="0" w:space="0" w:color="auto"/>
          </w:divBdr>
        </w:div>
        <w:div w:id="1371106599">
          <w:marLeft w:val="475"/>
          <w:marRight w:val="0"/>
          <w:marTop w:val="21"/>
          <w:marBottom w:val="0"/>
          <w:divBdr>
            <w:top w:val="none" w:sz="0" w:space="0" w:color="auto"/>
            <w:left w:val="none" w:sz="0" w:space="0" w:color="auto"/>
            <w:bottom w:val="none" w:sz="0" w:space="0" w:color="auto"/>
            <w:right w:val="none" w:sz="0" w:space="0" w:color="auto"/>
          </w:divBdr>
        </w:div>
      </w:divsChild>
    </w:div>
    <w:div w:id="570384115">
      <w:bodyDiv w:val="1"/>
      <w:marLeft w:val="0"/>
      <w:marRight w:val="0"/>
      <w:marTop w:val="0"/>
      <w:marBottom w:val="0"/>
      <w:divBdr>
        <w:top w:val="none" w:sz="0" w:space="0" w:color="auto"/>
        <w:left w:val="none" w:sz="0" w:space="0" w:color="auto"/>
        <w:bottom w:val="none" w:sz="0" w:space="0" w:color="auto"/>
        <w:right w:val="none" w:sz="0" w:space="0" w:color="auto"/>
      </w:divBdr>
    </w:div>
    <w:div w:id="676152460">
      <w:bodyDiv w:val="1"/>
      <w:marLeft w:val="0"/>
      <w:marRight w:val="0"/>
      <w:marTop w:val="0"/>
      <w:marBottom w:val="0"/>
      <w:divBdr>
        <w:top w:val="none" w:sz="0" w:space="0" w:color="auto"/>
        <w:left w:val="none" w:sz="0" w:space="0" w:color="auto"/>
        <w:bottom w:val="none" w:sz="0" w:space="0" w:color="auto"/>
        <w:right w:val="none" w:sz="0" w:space="0" w:color="auto"/>
      </w:divBdr>
    </w:div>
    <w:div w:id="928007748">
      <w:bodyDiv w:val="1"/>
      <w:marLeft w:val="0"/>
      <w:marRight w:val="0"/>
      <w:marTop w:val="0"/>
      <w:marBottom w:val="0"/>
      <w:divBdr>
        <w:top w:val="none" w:sz="0" w:space="0" w:color="auto"/>
        <w:left w:val="none" w:sz="0" w:space="0" w:color="auto"/>
        <w:bottom w:val="none" w:sz="0" w:space="0" w:color="auto"/>
        <w:right w:val="none" w:sz="0" w:space="0" w:color="auto"/>
      </w:divBdr>
    </w:div>
    <w:div w:id="1006830833">
      <w:bodyDiv w:val="1"/>
      <w:marLeft w:val="0"/>
      <w:marRight w:val="0"/>
      <w:marTop w:val="0"/>
      <w:marBottom w:val="0"/>
      <w:divBdr>
        <w:top w:val="none" w:sz="0" w:space="0" w:color="auto"/>
        <w:left w:val="none" w:sz="0" w:space="0" w:color="auto"/>
        <w:bottom w:val="none" w:sz="0" w:space="0" w:color="auto"/>
        <w:right w:val="none" w:sz="0" w:space="0" w:color="auto"/>
      </w:divBdr>
      <w:divsChild>
        <w:div w:id="1748762749">
          <w:marLeft w:val="0"/>
          <w:marRight w:val="0"/>
          <w:marTop w:val="0"/>
          <w:marBottom w:val="0"/>
          <w:divBdr>
            <w:top w:val="none" w:sz="0" w:space="0" w:color="auto"/>
            <w:left w:val="none" w:sz="0" w:space="0" w:color="auto"/>
            <w:bottom w:val="none" w:sz="0" w:space="0" w:color="auto"/>
            <w:right w:val="none" w:sz="0" w:space="0" w:color="auto"/>
          </w:divBdr>
          <w:divsChild>
            <w:div w:id="1656956890">
              <w:marLeft w:val="0"/>
              <w:marRight w:val="0"/>
              <w:marTop w:val="0"/>
              <w:marBottom w:val="0"/>
              <w:divBdr>
                <w:top w:val="none" w:sz="0" w:space="0" w:color="auto"/>
                <w:left w:val="none" w:sz="0" w:space="0" w:color="auto"/>
                <w:bottom w:val="none" w:sz="0" w:space="0" w:color="auto"/>
                <w:right w:val="none" w:sz="0" w:space="0" w:color="auto"/>
              </w:divBdr>
              <w:divsChild>
                <w:div w:id="1979067784">
                  <w:marLeft w:val="446"/>
                  <w:marRight w:val="14"/>
                  <w:marTop w:val="21"/>
                  <w:marBottom w:val="0"/>
                  <w:divBdr>
                    <w:top w:val="none" w:sz="0" w:space="0" w:color="auto"/>
                    <w:left w:val="none" w:sz="0" w:space="0" w:color="auto"/>
                    <w:bottom w:val="none" w:sz="0" w:space="0" w:color="auto"/>
                    <w:right w:val="none" w:sz="0" w:space="0" w:color="auto"/>
                  </w:divBdr>
                  <w:divsChild>
                    <w:div w:id="1671910379">
                      <w:marLeft w:val="446"/>
                      <w:marRight w:val="14"/>
                      <w:marTop w:val="21"/>
                      <w:marBottom w:val="0"/>
                      <w:divBdr>
                        <w:top w:val="none" w:sz="0" w:space="0" w:color="auto"/>
                        <w:left w:val="none" w:sz="0" w:space="0" w:color="auto"/>
                        <w:bottom w:val="none" w:sz="0" w:space="0" w:color="auto"/>
                        <w:right w:val="none" w:sz="0" w:space="0" w:color="auto"/>
                      </w:divBdr>
                    </w:div>
                    <w:div w:id="215556963">
                      <w:marLeft w:val="446"/>
                      <w:marRight w:val="14"/>
                      <w:marTop w:val="21"/>
                      <w:marBottom w:val="0"/>
                      <w:divBdr>
                        <w:top w:val="none" w:sz="0" w:space="0" w:color="auto"/>
                        <w:left w:val="none" w:sz="0" w:space="0" w:color="auto"/>
                        <w:bottom w:val="none" w:sz="0" w:space="0" w:color="auto"/>
                        <w:right w:val="none" w:sz="0" w:space="0" w:color="auto"/>
                      </w:divBdr>
                    </w:div>
                    <w:div w:id="565721715">
                      <w:marLeft w:val="446"/>
                      <w:marRight w:val="14"/>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 w:id="1656108512">
      <w:bodyDiv w:val="1"/>
      <w:marLeft w:val="0"/>
      <w:marRight w:val="0"/>
      <w:marTop w:val="0"/>
      <w:marBottom w:val="0"/>
      <w:divBdr>
        <w:top w:val="none" w:sz="0" w:space="0" w:color="auto"/>
        <w:left w:val="none" w:sz="0" w:space="0" w:color="auto"/>
        <w:bottom w:val="none" w:sz="0" w:space="0" w:color="auto"/>
        <w:right w:val="none" w:sz="0" w:space="0" w:color="auto"/>
      </w:divBdr>
    </w:div>
    <w:div w:id="2131893405">
      <w:bodyDiv w:val="1"/>
      <w:marLeft w:val="0"/>
      <w:marRight w:val="0"/>
      <w:marTop w:val="0"/>
      <w:marBottom w:val="0"/>
      <w:divBdr>
        <w:top w:val="none" w:sz="0" w:space="0" w:color="auto"/>
        <w:left w:val="none" w:sz="0" w:space="0" w:color="auto"/>
        <w:bottom w:val="none" w:sz="0" w:space="0" w:color="auto"/>
        <w:right w:val="none" w:sz="0" w:space="0" w:color="auto"/>
      </w:divBdr>
      <w:divsChild>
        <w:div w:id="1701009354">
          <w:marLeft w:val="0"/>
          <w:marRight w:val="0"/>
          <w:marTop w:val="0"/>
          <w:marBottom w:val="0"/>
          <w:divBdr>
            <w:top w:val="none" w:sz="0" w:space="0" w:color="auto"/>
            <w:left w:val="none" w:sz="0" w:space="0" w:color="auto"/>
            <w:bottom w:val="none" w:sz="0" w:space="0" w:color="auto"/>
            <w:right w:val="none" w:sz="0" w:space="0" w:color="auto"/>
          </w:divBdr>
          <w:divsChild>
            <w:div w:id="272398974">
              <w:marLeft w:val="0"/>
              <w:marRight w:val="0"/>
              <w:marTop w:val="0"/>
              <w:marBottom w:val="0"/>
              <w:divBdr>
                <w:top w:val="none" w:sz="0" w:space="0" w:color="auto"/>
                <w:left w:val="none" w:sz="0" w:space="0" w:color="auto"/>
                <w:bottom w:val="none" w:sz="0" w:space="0" w:color="auto"/>
                <w:right w:val="none" w:sz="0" w:space="0" w:color="auto"/>
              </w:divBdr>
              <w:divsChild>
                <w:div w:id="2102141654">
                  <w:marLeft w:val="446"/>
                  <w:marRight w:val="14"/>
                  <w:marTop w:val="21"/>
                  <w:marBottom w:val="0"/>
                  <w:divBdr>
                    <w:top w:val="none" w:sz="0" w:space="0" w:color="auto"/>
                    <w:left w:val="none" w:sz="0" w:space="0" w:color="auto"/>
                    <w:bottom w:val="none" w:sz="0" w:space="0" w:color="auto"/>
                    <w:right w:val="none" w:sz="0" w:space="0" w:color="auto"/>
                  </w:divBdr>
                  <w:divsChild>
                    <w:div w:id="1797404710">
                      <w:marLeft w:val="446"/>
                      <w:marRight w:val="14"/>
                      <w:marTop w:val="21"/>
                      <w:marBottom w:val="0"/>
                      <w:divBdr>
                        <w:top w:val="none" w:sz="0" w:space="0" w:color="auto"/>
                        <w:left w:val="none" w:sz="0" w:space="0" w:color="auto"/>
                        <w:bottom w:val="none" w:sz="0" w:space="0" w:color="auto"/>
                        <w:right w:val="none" w:sz="0" w:space="0" w:color="auto"/>
                      </w:divBdr>
                    </w:div>
                    <w:div w:id="894707086">
                      <w:marLeft w:val="446"/>
                      <w:marRight w:val="14"/>
                      <w:marTop w:val="21"/>
                      <w:marBottom w:val="0"/>
                      <w:divBdr>
                        <w:top w:val="none" w:sz="0" w:space="0" w:color="auto"/>
                        <w:left w:val="none" w:sz="0" w:space="0" w:color="auto"/>
                        <w:bottom w:val="none" w:sz="0" w:space="0" w:color="auto"/>
                        <w:right w:val="none" w:sz="0" w:space="0" w:color="auto"/>
                      </w:divBdr>
                    </w:div>
                    <w:div w:id="1433162057">
                      <w:marLeft w:val="446"/>
                      <w:marRight w:val="14"/>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4325</Words>
  <Characters>23357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Nicolau</dc:creator>
  <cp:keywords/>
  <dc:description/>
  <cp:lastModifiedBy>Lucas</cp:lastModifiedBy>
  <cp:revision>3</cp:revision>
  <cp:lastPrinted>2025-02-06T16:32:00Z</cp:lastPrinted>
  <dcterms:created xsi:type="dcterms:W3CDTF">2025-02-07T19:35:00Z</dcterms:created>
  <dcterms:modified xsi:type="dcterms:W3CDTF">2025-02-07T19:49:00Z</dcterms:modified>
</cp:coreProperties>
</file>