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C87E95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42189675" w:rsidR="00C87E95" w:rsidRPr="002D56F4" w:rsidRDefault="00C87E95" w:rsidP="00C87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1737E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6CDB2BBA" w:rsidR="00C87E95" w:rsidRPr="002D56F4" w:rsidRDefault="00C87E95" w:rsidP="00C87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624DED94" w:rsidR="00C87E95" w:rsidRPr="002D56F4" w:rsidRDefault="00C87E95" w:rsidP="00C87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33EA4DAA" w:rsidR="00C87E95" w:rsidRPr="002D56F4" w:rsidRDefault="00C87E95" w:rsidP="00C87E9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B2BBC">
              <w:rPr>
                <w:rFonts w:cstheme="minorHAnsi"/>
                <w:sz w:val="20"/>
                <w:szCs w:val="20"/>
              </w:rPr>
              <w:t>1 KIT INSTALACAO DE BARRA ANTIPANICO. PERFIL PRETO. ACESSORIOS PRETO. SEM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BBC">
              <w:rPr>
                <w:rFonts w:cstheme="minorHAnsi"/>
                <w:sz w:val="20"/>
                <w:szCs w:val="20"/>
              </w:rPr>
              <w:t>VIDRO. BARRA ANTIPANICO COM TRAVAMENTO HORIZONTAL DIREITO PRETO 1.20M.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BBC">
              <w:rPr>
                <w:rFonts w:cstheme="minorHAnsi"/>
                <w:sz w:val="20"/>
                <w:szCs w:val="20"/>
              </w:rPr>
              <w:t>BARRA ANTIPANICO COM TRAVAMENTO VERTICAL DIREITO PRETO 1.200 X 2.425.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BBC">
              <w:rPr>
                <w:rFonts w:cstheme="minorHAnsi"/>
                <w:sz w:val="20"/>
                <w:szCs w:val="20"/>
              </w:rPr>
              <w:t>MACANETA PARA BARRA ANTIPANICO PRETO. INSTALACAO INCLUSA.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C87E95" w:rsidRPr="002D56F4" w:rsidRDefault="00C87E95" w:rsidP="00C87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C87E95" w:rsidRPr="002D56F4" w:rsidRDefault="00C87E95" w:rsidP="00C87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C87E95" w:rsidRPr="002D56F4" w14:paraId="61AB6FBE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8DD1AF4" w14:textId="3EB234FF" w:rsidR="00C87E95" w:rsidRPr="00BA7F24" w:rsidRDefault="00C87E95" w:rsidP="00C87E9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1737E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5FC33A" w14:textId="55A7E3FE" w:rsidR="00C87E95" w:rsidRDefault="00C87E95" w:rsidP="00C87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D18370" w14:textId="24E25A72" w:rsidR="00C87E95" w:rsidRDefault="00C87E95" w:rsidP="00C87E9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1AC4F8F" w14:textId="1AB492B8" w:rsidR="00C87E95" w:rsidRDefault="00C87E95" w:rsidP="00C87E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2BBC">
              <w:rPr>
                <w:rFonts w:cstheme="minorHAnsi"/>
                <w:sz w:val="20"/>
                <w:szCs w:val="20"/>
              </w:rPr>
              <w:t>PORTA DE GIRO DE 02 FOLHAS LINHA 30. PERFIL PRETO. ACESSORIOS PRETO. VIDRO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BBC">
              <w:rPr>
                <w:rFonts w:cstheme="minorHAnsi"/>
                <w:sz w:val="20"/>
                <w:szCs w:val="20"/>
              </w:rPr>
              <w:t>CINZA REFLETIVO 06MM TEMPERADO PARA USO NA PORTA DO PLENARIO DA CAMARA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BBC">
              <w:rPr>
                <w:rFonts w:cstheme="minorHAnsi"/>
                <w:sz w:val="20"/>
                <w:szCs w:val="20"/>
              </w:rPr>
              <w:t>MUNICIPAL DE PATROCINIO. LARGURA 2.255 MTS ALTURA 2.425. LINHA 30. COR DO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BBC">
              <w:rPr>
                <w:rFonts w:cstheme="minorHAnsi"/>
                <w:sz w:val="20"/>
                <w:szCs w:val="20"/>
              </w:rPr>
              <w:t>ALUMINIO PRETO OU BRANCO. VIDRO CINZA REFLETIVO 6MM TEMPERADO. INCLUSO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2BBC">
              <w:rPr>
                <w:rFonts w:cstheme="minorHAnsi"/>
                <w:sz w:val="20"/>
                <w:szCs w:val="20"/>
              </w:rPr>
              <w:t>INSTALACAO E RETIRADA DA PORTA ANTIGA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A74DBC5" w14:textId="7FE9B2C1" w:rsidR="00C87E95" w:rsidRPr="002D56F4" w:rsidRDefault="00C87E95" w:rsidP="00C87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DE9A" w14:textId="437B8143" w:rsidR="00C87E95" w:rsidRPr="002D56F4" w:rsidRDefault="00C87E95" w:rsidP="00C87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3707"/>
    <w:rsid w:val="00087D79"/>
    <w:rsid w:val="001D242E"/>
    <w:rsid w:val="002609AE"/>
    <w:rsid w:val="00280DDB"/>
    <w:rsid w:val="002D56F4"/>
    <w:rsid w:val="003207C9"/>
    <w:rsid w:val="00510E17"/>
    <w:rsid w:val="005B7110"/>
    <w:rsid w:val="006779B1"/>
    <w:rsid w:val="00794B94"/>
    <w:rsid w:val="008A7287"/>
    <w:rsid w:val="0098359E"/>
    <w:rsid w:val="00990903"/>
    <w:rsid w:val="009D3D15"/>
    <w:rsid w:val="00B3186A"/>
    <w:rsid w:val="00BC43F2"/>
    <w:rsid w:val="00C87E95"/>
    <w:rsid w:val="00CD7634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2025-08-07T19:17:00Z</dcterms:created>
  <dcterms:modified xsi:type="dcterms:W3CDTF">2025-08-07T19:17:00Z</dcterms:modified>
</cp:coreProperties>
</file>